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r>
        <w:rPr>
          <w:rFonts w:hint="eastAsia" w:ascii="仿宋" w:hAnsi="仿宋" w:eastAsia="仿宋" w:cs="仿宋"/>
          <w:b w:val="0"/>
          <w:bCs w:val="0"/>
          <w:sz w:val="52"/>
          <w:szCs w:val="52"/>
          <w:highlight w:val="none"/>
        </w:rPr>
        <w:t>云南省公路收费系统关键设备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r>
        <w:rPr>
          <w:rFonts w:hint="eastAsia" w:ascii="仿宋" w:hAnsi="仿宋" w:eastAsia="仿宋" w:cs="仿宋"/>
          <w:b w:val="0"/>
          <w:bCs w:val="0"/>
          <w:sz w:val="52"/>
          <w:szCs w:val="52"/>
          <w:highlight w:val="none"/>
        </w:rPr>
        <w:t>入网检测及联调测试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r>
        <w:rPr>
          <w:rFonts w:hint="eastAsia" w:ascii="仿宋" w:hAnsi="仿宋" w:eastAsia="仿宋" w:cs="仿宋"/>
          <w:b w:val="0"/>
          <w:bCs w:val="0"/>
          <w:sz w:val="52"/>
          <w:szCs w:val="52"/>
          <w:highlight w:val="none"/>
        </w:rPr>
        <w:t>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lang w:val="en-US" w:eastAsia="zh-CN"/>
        </w:rPr>
      </w:pPr>
      <w:r>
        <w:rPr>
          <w:rFonts w:hint="eastAsia" w:ascii="仿宋" w:hAnsi="仿宋" w:eastAsia="仿宋" w:cs="仿宋"/>
          <w:b w:val="0"/>
          <w:bCs w:val="0"/>
          <w:sz w:val="52"/>
          <w:szCs w:val="5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52"/>
          <w:szCs w:val="5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云南公路联网收费管理有限公司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二0二一年三月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sdt>
      <w:sdtPr>
        <w:rPr>
          <w:rFonts w:hint="eastAsia" w:ascii="仿宋" w:hAnsi="仿宋" w:eastAsia="仿宋" w:cs="仿宋"/>
          <w:kern w:val="2"/>
          <w:sz w:val="44"/>
          <w:szCs w:val="44"/>
          <w:highlight w:val="none"/>
          <w:lang w:val="en-US" w:eastAsia="zh-CN" w:bidi="ar-SA"/>
        </w:rPr>
        <w:id w:val="147480631"/>
        <w15:color w:val="DBDBDB"/>
        <w:docPartObj>
          <w:docPartGallery w:val="Table of Contents"/>
          <w:docPartUnique/>
        </w:docPartObj>
      </w:sdtPr>
      <w:sdtEndPr>
        <w:rPr>
          <w:rFonts w:hint="eastAsia" w:ascii="仿宋" w:hAnsi="仿宋" w:eastAsia="仿宋" w:cs="仿宋"/>
          <w:b/>
          <w:bCs w:val="0"/>
          <w:kern w:val="2"/>
          <w:sz w:val="21"/>
          <w:szCs w:val="3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val="0"/>
              <w:bCs w:val="0"/>
              <w:sz w:val="32"/>
              <w:szCs w:val="32"/>
              <w:highlight w:val="none"/>
              <w:lang w:val="en-US" w:eastAsia="zh-CN"/>
            </w:rPr>
          </w:pPr>
          <w:r>
            <w:rPr>
              <w:rStyle w:val="21"/>
              <w:rFonts w:hint="eastAsia" w:ascii="仿宋" w:hAnsi="仿宋" w:eastAsia="仿宋" w:cs="仿宋"/>
              <w:highlight w:val="none"/>
            </w:rPr>
            <w:t>目录</w:t>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TOC \o "1-2" \h \u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_Toc19661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1 测试简介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_Toc19661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_Toc4373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1.1背景</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_Toc4373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_Toc22594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1.2测试设备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_Toc22594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_Toc9502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1.3 测试依据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_Toc9502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_Toc31765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2测试组织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_Toc31765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_Toc4220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2.1资格要求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_Toc4220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_Toc20882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2.2报名和资格预审</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_Toc20882 </w:instrText>
          </w:r>
          <w:r>
            <w:rPr>
              <w:rFonts w:hint="eastAsia" w:ascii="仿宋" w:hAnsi="仿宋" w:eastAsia="仿宋" w:cs="仿宋"/>
              <w:sz w:val="24"/>
              <w:szCs w:val="24"/>
            </w:rPr>
            <w:fldChar w:fldCharType="separate"/>
          </w:r>
          <w:r>
            <w:rPr>
              <w:rFonts w:hint="eastAsia" w:ascii="仿宋" w:hAnsi="仿宋" w:eastAsia="仿宋" w:cs="仿宋"/>
              <w:sz w:val="24"/>
              <w:szCs w:val="24"/>
            </w:rPr>
            <w:t>5</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_Toc29922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2.3时间安排</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_Toc29922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_Toc29416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2.4 测试人员安排</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_Toc29416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_Toc11747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2.5产品资料要求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_Toc11747 </w:instrText>
          </w:r>
          <w:r>
            <w:rPr>
              <w:rFonts w:hint="eastAsia" w:ascii="仿宋" w:hAnsi="仿宋" w:eastAsia="仿宋" w:cs="仿宋"/>
              <w:sz w:val="24"/>
              <w:szCs w:val="24"/>
            </w:rPr>
            <w:fldChar w:fldCharType="separate"/>
          </w:r>
          <w:r>
            <w:rPr>
              <w:rFonts w:hint="eastAsia"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_Toc22269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3 检测流程及检测参数</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_Toc22269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_Toc8705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3.1工作流程概述</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_Toc8705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_Toc12466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3.2检测参数</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_Toc12466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_Toc11606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4安全文明要求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_Toc11606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_Toc5489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4.1安全保障及保通相关要求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_Toc5489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_Toc31356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4.2</w:t>
          </w:r>
          <w:r>
            <w:rPr>
              <w:rFonts w:hint="eastAsia" w:ascii="仿宋" w:hAnsi="仿宋" w:eastAsia="仿宋" w:cs="仿宋"/>
              <w:sz w:val="24"/>
              <w:szCs w:val="24"/>
              <w:highlight w:val="none"/>
            </w:rPr>
            <w:t>现场测试安全作业要求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_Toc31356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_Toc3321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4.3</w:t>
          </w:r>
          <w:r>
            <w:rPr>
              <w:rFonts w:hint="eastAsia" w:ascii="仿宋" w:hAnsi="仿宋" w:eastAsia="仿宋" w:cs="仿宋"/>
              <w:sz w:val="24"/>
              <w:szCs w:val="24"/>
              <w:highlight w:val="none"/>
            </w:rPr>
            <w:t>文明保证措施</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_Toc3321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_Toc914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4.4应急处置预案</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_Toc914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_Toc31945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4.5新型冠状病毒感染的肺炎疫情防控要求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_Toc31945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_Toc1171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5纪律要求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_Toc1171 </w:instrText>
          </w:r>
          <w:r>
            <w:rPr>
              <w:rFonts w:hint="eastAsia" w:ascii="仿宋" w:hAnsi="仿宋" w:eastAsia="仿宋" w:cs="仿宋"/>
              <w:sz w:val="24"/>
              <w:szCs w:val="24"/>
            </w:rPr>
            <w:fldChar w:fldCharType="separate"/>
          </w:r>
          <w:r>
            <w:rPr>
              <w:rFonts w:hint="eastAsia" w:ascii="仿宋" w:hAnsi="仿宋" w:eastAsia="仿宋" w:cs="仿宋"/>
              <w:sz w:val="24"/>
              <w:szCs w:val="24"/>
            </w:rPr>
            <w:t>18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_Toc13203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5.1测试组织和检测单位</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_Toc13203 </w:instrText>
          </w:r>
          <w:r>
            <w:rPr>
              <w:rFonts w:hint="eastAsia" w:ascii="仿宋" w:hAnsi="仿宋" w:eastAsia="仿宋" w:cs="仿宋"/>
              <w:sz w:val="24"/>
              <w:szCs w:val="24"/>
            </w:rPr>
            <w:fldChar w:fldCharType="separate"/>
          </w:r>
          <w:r>
            <w:rPr>
              <w:rFonts w:hint="eastAsia" w:ascii="仿宋" w:hAnsi="仿宋" w:eastAsia="仿宋" w:cs="仿宋"/>
              <w:sz w:val="24"/>
              <w:szCs w:val="24"/>
            </w:rPr>
            <w:t>18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_Toc12647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5.2参测厂商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_Toc12647 </w:instrText>
          </w:r>
          <w:r>
            <w:rPr>
              <w:rFonts w:hint="eastAsia" w:ascii="仿宋" w:hAnsi="仿宋" w:eastAsia="仿宋" w:cs="仿宋"/>
              <w:sz w:val="24"/>
              <w:szCs w:val="24"/>
            </w:rPr>
            <w:fldChar w:fldCharType="separate"/>
          </w:r>
          <w:r>
            <w:rPr>
              <w:rFonts w:hint="eastAsia" w:ascii="仿宋" w:hAnsi="仿宋" w:eastAsia="仿宋" w:cs="仿宋"/>
              <w:sz w:val="24"/>
              <w:szCs w:val="24"/>
            </w:rPr>
            <w:t>19</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_Toc15777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lang w:val="en-US" w:eastAsia="zh-CN"/>
            </w:rPr>
            <w:t>附件1：</w:t>
          </w:r>
          <w:r>
            <w:rPr>
              <w:rFonts w:hint="eastAsia" w:ascii="仿宋" w:hAnsi="仿宋" w:eastAsia="仿宋" w:cs="仿宋"/>
              <w:sz w:val="24"/>
              <w:szCs w:val="24"/>
              <w:highlight w:val="none"/>
            </w:rPr>
            <w:t>参加测试申请书</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_Toc15777 </w:instrText>
          </w:r>
          <w:r>
            <w:rPr>
              <w:rFonts w:hint="eastAsia" w:ascii="仿宋" w:hAnsi="仿宋" w:eastAsia="仿宋" w:cs="仿宋"/>
              <w:sz w:val="24"/>
              <w:szCs w:val="24"/>
            </w:rPr>
            <w:fldChar w:fldCharType="separate"/>
          </w:r>
          <w:r>
            <w:rPr>
              <w:rFonts w:hint="eastAsia" w:ascii="仿宋" w:hAnsi="仿宋" w:eastAsia="仿宋" w:cs="仿宋"/>
              <w:sz w:val="24"/>
              <w:szCs w:val="24"/>
            </w:rPr>
            <w:t>20</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_Toc21827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bCs/>
              <w:sz w:val="24"/>
              <w:szCs w:val="24"/>
              <w:highlight w:val="none"/>
              <w:lang w:val="en-US" w:eastAsia="zh-CN"/>
            </w:rPr>
            <w:t>附件2：</w:t>
          </w:r>
          <w:r>
            <w:rPr>
              <w:rFonts w:hint="eastAsia" w:ascii="仿宋" w:hAnsi="仿宋" w:eastAsia="仿宋" w:cs="仿宋"/>
              <w:sz w:val="24"/>
              <w:szCs w:val="24"/>
              <w:highlight w:val="none"/>
            </w:rPr>
            <w:t>云南省公路收费系统关键设备</w:t>
          </w:r>
          <w:r>
            <w:rPr>
              <w:rFonts w:hint="eastAsia" w:ascii="仿宋" w:hAnsi="仿宋" w:eastAsia="仿宋" w:cs="仿宋"/>
              <w:sz w:val="24"/>
              <w:szCs w:val="24"/>
              <w:highlight w:val="none"/>
              <w:lang w:eastAsia="zh-CN"/>
            </w:rPr>
            <w:t>入网检测及联调测试设备信息表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_Toc21827 </w:instrText>
          </w:r>
          <w:r>
            <w:rPr>
              <w:rFonts w:hint="eastAsia" w:ascii="仿宋" w:hAnsi="仿宋" w:eastAsia="仿宋" w:cs="仿宋"/>
              <w:sz w:val="24"/>
              <w:szCs w:val="24"/>
            </w:rPr>
            <w:fldChar w:fldCharType="separate"/>
          </w:r>
          <w:r>
            <w:rPr>
              <w:rFonts w:hint="eastAsia" w:ascii="仿宋" w:hAnsi="仿宋" w:eastAsia="仿宋" w:cs="仿宋"/>
              <w:sz w:val="24"/>
              <w:szCs w:val="24"/>
            </w:rPr>
            <w:t>21</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rPr>
          </w:pP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_Toc12567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rPr>
            <w:t>附件3</w:t>
          </w:r>
          <w:r>
            <w:rPr>
              <w:rFonts w:hint="eastAsia" w:ascii="仿宋" w:hAnsi="仿宋" w:eastAsia="仿宋" w:cs="仿宋"/>
              <w:bCs w:val="0"/>
              <w:sz w:val="24"/>
              <w:szCs w:val="24"/>
              <w:highlight w:val="none"/>
              <w:lang w:val="en-US" w:eastAsia="zh-CN"/>
            </w:rPr>
            <w:fldChar w:fldCharType="end"/>
          </w:r>
          <w:r>
            <w:rPr>
              <w:rFonts w:hint="eastAsia" w:ascii="仿宋" w:hAnsi="仿宋" w:eastAsia="仿宋" w:cs="仿宋"/>
              <w:bCs w:val="0"/>
              <w:sz w:val="24"/>
              <w:szCs w:val="24"/>
              <w:highlight w:val="none"/>
              <w:lang w:val="en-US" w:eastAsia="zh-CN"/>
            </w:rPr>
            <w:t>：</w:t>
          </w:r>
          <w:r>
            <w:rPr>
              <w:rFonts w:hint="eastAsia" w:ascii="仿宋" w:hAnsi="仿宋" w:eastAsia="仿宋" w:cs="仿宋"/>
              <w:bCs w:val="0"/>
              <w:sz w:val="24"/>
              <w:szCs w:val="24"/>
              <w:highlight w:val="none"/>
              <w:lang w:val="en-US" w:eastAsia="zh-CN"/>
            </w:rPr>
            <w:fldChar w:fldCharType="begin"/>
          </w:r>
          <w:r>
            <w:rPr>
              <w:rFonts w:hint="eastAsia" w:ascii="仿宋" w:hAnsi="仿宋" w:eastAsia="仿宋" w:cs="仿宋"/>
              <w:bCs w:val="0"/>
              <w:sz w:val="24"/>
              <w:szCs w:val="24"/>
              <w:highlight w:val="none"/>
              <w:lang w:val="en-US" w:eastAsia="zh-CN"/>
            </w:rPr>
            <w:instrText xml:space="preserve"> HYPERLINK \l _Toc28256 </w:instrText>
          </w:r>
          <w:r>
            <w:rPr>
              <w:rFonts w:hint="eastAsia" w:ascii="仿宋" w:hAnsi="仿宋" w:eastAsia="仿宋" w:cs="仿宋"/>
              <w:bCs w:val="0"/>
              <w:sz w:val="24"/>
              <w:szCs w:val="24"/>
              <w:highlight w:val="none"/>
              <w:lang w:val="en-US" w:eastAsia="zh-CN"/>
            </w:rPr>
            <w:fldChar w:fldCharType="separate"/>
          </w:r>
          <w:r>
            <w:rPr>
              <w:rFonts w:hint="eastAsia" w:ascii="仿宋" w:hAnsi="仿宋" w:eastAsia="仿宋" w:cs="仿宋"/>
              <w:sz w:val="24"/>
              <w:szCs w:val="24"/>
              <w:highlight w:val="none"/>
            </w:rPr>
            <w:t>云南省公路收费系统关键设备</w:t>
          </w:r>
          <w:r>
            <w:rPr>
              <w:rFonts w:hint="eastAsia" w:ascii="仿宋" w:hAnsi="仿宋" w:eastAsia="仿宋" w:cs="仿宋"/>
              <w:sz w:val="24"/>
              <w:szCs w:val="24"/>
              <w:highlight w:val="none"/>
              <w:lang w:eastAsia="zh-CN"/>
            </w:rPr>
            <w:t>入网检测及联调测试</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_Toc28256 </w:instrText>
          </w:r>
          <w:r>
            <w:rPr>
              <w:rFonts w:hint="eastAsia" w:ascii="仿宋" w:hAnsi="仿宋" w:eastAsia="仿宋" w:cs="仿宋"/>
              <w:sz w:val="24"/>
              <w:szCs w:val="24"/>
            </w:rPr>
            <w:fldChar w:fldCharType="separate"/>
          </w:r>
          <w:r>
            <w:rPr>
              <w:rFonts w:hint="eastAsia" w:ascii="仿宋" w:hAnsi="仿宋" w:eastAsia="仿宋" w:cs="仿宋"/>
              <w:sz w:val="24"/>
              <w:szCs w:val="24"/>
            </w:rPr>
            <w:t>38</w:t>
          </w:r>
          <w:r>
            <w:rPr>
              <w:rFonts w:hint="eastAsia" w:ascii="仿宋" w:hAnsi="仿宋" w:eastAsia="仿宋" w:cs="仿宋"/>
              <w:sz w:val="24"/>
              <w:szCs w:val="24"/>
            </w:rPr>
            <w:fldChar w:fldCharType="end"/>
          </w:r>
          <w:r>
            <w:rPr>
              <w:rFonts w:hint="eastAsia" w:ascii="仿宋" w:hAnsi="仿宋" w:eastAsia="仿宋" w:cs="仿宋"/>
              <w:bCs w:val="0"/>
              <w:sz w:val="24"/>
              <w:szCs w:val="24"/>
              <w:highlight w:val="none"/>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Cs w:val="0"/>
              <w:szCs w:val="32"/>
              <w:highlight w:val="none"/>
              <w:lang w:val="en-US" w:eastAsia="zh-CN"/>
            </w:rPr>
            <w:fldChar w:fldCharType="end"/>
          </w:r>
        </w:p>
      </w:sdtContent>
    </w:sdt>
    <w:p>
      <w:pPr>
        <w:bidi w:val="0"/>
        <w:jc w:val="center"/>
        <w:rPr>
          <w:rFonts w:hint="eastAsia" w:ascii="仿宋" w:hAnsi="仿宋" w:eastAsia="仿宋" w:cs="仿宋"/>
          <w:sz w:val="44"/>
          <w:szCs w:val="44"/>
          <w:highlight w:val="none"/>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bidi w:val="0"/>
        <w:jc w:val="center"/>
        <w:rPr>
          <w:rFonts w:hint="eastAsia" w:ascii="仿宋" w:hAnsi="仿宋" w:eastAsia="仿宋" w:cs="仿宋"/>
          <w:sz w:val="44"/>
          <w:szCs w:val="44"/>
          <w:highlight w:val="none"/>
          <w:lang w:val="en-US" w:eastAsia="zh-CN"/>
        </w:rPr>
      </w:pPr>
      <w:r>
        <w:rPr>
          <w:rFonts w:hint="eastAsia" w:ascii="仿宋" w:hAnsi="仿宋" w:eastAsia="仿宋" w:cs="仿宋"/>
          <w:sz w:val="44"/>
          <w:szCs w:val="44"/>
          <w:highlight w:val="none"/>
        </w:rPr>
        <w:t>云南省</w:t>
      </w:r>
      <w:r>
        <w:rPr>
          <w:rFonts w:hint="eastAsia" w:ascii="仿宋" w:hAnsi="仿宋" w:eastAsia="仿宋" w:cs="仿宋"/>
          <w:sz w:val="44"/>
          <w:szCs w:val="44"/>
          <w:highlight w:val="none"/>
          <w:lang w:val="en-US" w:eastAsia="zh-CN"/>
        </w:rPr>
        <w:t>公路</w:t>
      </w:r>
      <w:r>
        <w:rPr>
          <w:rFonts w:hint="eastAsia" w:ascii="仿宋" w:hAnsi="仿宋" w:eastAsia="仿宋" w:cs="仿宋"/>
          <w:sz w:val="44"/>
          <w:szCs w:val="44"/>
          <w:highlight w:val="none"/>
        </w:rPr>
        <w:t>收费系统关键设备入网检测及联调测试</w:t>
      </w:r>
      <w:r>
        <w:rPr>
          <w:rFonts w:hint="eastAsia" w:ascii="仿宋" w:hAnsi="仿宋" w:eastAsia="仿宋" w:cs="仿宋"/>
          <w:sz w:val="44"/>
          <w:szCs w:val="44"/>
          <w:highlight w:val="none"/>
          <w:lang w:val="en-US" w:eastAsia="zh-CN"/>
        </w:rPr>
        <w:t>方案</w:t>
      </w:r>
    </w:p>
    <w:p>
      <w:pPr>
        <w:pStyle w:val="2"/>
        <w:bidi w:val="0"/>
        <w:rPr>
          <w:rFonts w:hint="eastAsia" w:ascii="仿宋" w:hAnsi="仿宋" w:eastAsia="仿宋" w:cs="仿宋"/>
          <w:b w:val="0"/>
          <w:bCs w:val="0"/>
          <w:szCs w:val="28"/>
          <w:highlight w:val="none"/>
          <w:lang w:val="en-US" w:eastAsia="zh-CN"/>
        </w:rPr>
      </w:pPr>
      <w:bookmarkStart w:id="0" w:name="_Toc19661"/>
      <w:r>
        <w:rPr>
          <w:rFonts w:hint="eastAsia" w:ascii="仿宋" w:hAnsi="仿宋" w:eastAsia="仿宋" w:cs="仿宋"/>
          <w:highlight w:val="none"/>
          <w:lang w:val="en-US" w:eastAsia="zh-CN"/>
        </w:rPr>
        <w:t>1 测试简介</w:t>
      </w:r>
      <w:bookmarkEnd w:id="0"/>
    </w:p>
    <w:p>
      <w:pPr>
        <w:pStyle w:val="3"/>
        <w:numPr>
          <w:ilvl w:val="1"/>
          <w:numId w:val="0"/>
        </w:numPr>
        <w:bidi w:val="0"/>
        <w:ind w:leftChars="0"/>
        <w:rPr>
          <w:rFonts w:hint="eastAsia" w:ascii="仿宋" w:hAnsi="仿宋" w:eastAsia="仿宋" w:cs="仿宋"/>
          <w:highlight w:val="none"/>
          <w:lang w:val="en-US" w:eastAsia="zh-CN"/>
        </w:rPr>
      </w:pPr>
      <w:bookmarkStart w:id="1" w:name="_Toc4373"/>
      <w:r>
        <w:rPr>
          <w:rFonts w:hint="eastAsia" w:ascii="仿宋" w:hAnsi="仿宋" w:eastAsia="仿宋" w:cs="仿宋"/>
          <w:highlight w:val="none"/>
          <w:lang w:val="en-US" w:eastAsia="zh-CN"/>
        </w:rPr>
        <w:t>1.1背景</w:t>
      </w:r>
      <w:bookmarkEnd w:id="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为贯彻落实《收费公路联网电子不停车收费技术要求》（交通运输部2011年第13号公告）和《高速公路ETC门架系统及关键设备检测规程》（交通运输部2019年第59号公告），根据《云南省交通运输厅关于做好深化收费公路制度改革取消高速公路省界收费站施工建设相关工作的通知》（云交费便〔2019〕66号）和《云南省交通运输厅关于规范2020年起新建成通车收费公路收费有关事宜的通知》（云交费便〔2020〕97号）要求，使全省公路联网收费系统软、硬件具备良好的兼容性，确保全省公路收费系统稳定高效运行，云南公路联网收费管理有限公司</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lang w:val="en-US" w:eastAsia="zh-CN"/>
        </w:rPr>
        <w:t>以下简称“联网公司”</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开展云南省公路收费</w:t>
      </w:r>
      <w:r>
        <w:rPr>
          <w:rFonts w:hint="eastAsia" w:ascii="仿宋" w:hAnsi="仿宋" w:eastAsia="仿宋" w:cs="仿宋"/>
          <w:color w:val="000000"/>
          <w:sz w:val="28"/>
          <w:szCs w:val="28"/>
          <w:highlight w:val="none"/>
          <w:lang w:val="en-US" w:eastAsia="zh-CN"/>
        </w:rPr>
        <w:t>系统</w:t>
      </w:r>
      <w:r>
        <w:rPr>
          <w:rFonts w:hint="eastAsia" w:ascii="仿宋" w:hAnsi="仿宋" w:eastAsia="仿宋" w:cs="仿宋"/>
          <w:color w:val="000000"/>
          <w:sz w:val="28"/>
          <w:szCs w:val="28"/>
          <w:highlight w:val="none"/>
        </w:rPr>
        <w:t>关键设备入网</w:t>
      </w:r>
      <w:r>
        <w:rPr>
          <w:rFonts w:hint="eastAsia" w:ascii="仿宋" w:hAnsi="仿宋" w:eastAsia="仿宋" w:cs="仿宋"/>
          <w:color w:val="000000"/>
          <w:sz w:val="28"/>
          <w:szCs w:val="28"/>
          <w:highlight w:val="none"/>
          <w:lang w:val="en-US" w:eastAsia="zh-CN"/>
        </w:rPr>
        <w:t>检测</w:t>
      </w:r>
      <w:r>
        <w:rPr>
          <w:rFonts w:hint="eastAsia" w:ascii="仿宋" w:hAnsi="仿宋" w:eastAsia="仿宋" w:cs="仿宋"/>
          <w:color w:val="000000"/>
          <w:sz w:val="28"/>
          <w:szCs w:val="28"/>
          <w:highlight w:val="none"/>
        </w:rPr>
        <w:t>及联调测试工作。</w:t>
      </w:r>
    </w:p>
    <w:p>
      <w:pPr>
        <w:pStyle w:val="3"/>
        <w:numPr>
          <w:ilvl w:val="1"/>
          <w:numId w:val="0"/>
        </w:numPr>
        <w:bidi w:val="0"/>
        <w:ind w:leftChars="0"/>
        <w:rPr>
          <w:rFonts w:hint="eastAsia" w:ascii="仿宋" w:hAnsi="仿宋" w:eastAsia="仿宋" w:cs="仿宋"/>
          <w:highlight w:val="none"/>
          <w:lang w:val="en-US" w:eastAsia="zh-CN"/>
        </w:rPr>
      </w:pPr>
      <w:bookmarkStart w:id="2" w:name="_Toc22594"/>
      <w:r>
        <w:rPr>
          <w:rFonts w:hint="eastAsia" w:ascii="仿宋" w:hAnsi="仿宋" w:eastAsia="仿宋" w:cs="仿宋"/>
          <w:highlight w:val="none"/>
          <w:lang w:val="en-US" w:eastAsia="zh-CN"/>
        </w:rPr>
        <w:t>1.2测试设备</w:t>
      </w:r>
      <w:bookmarkEnd w:id="2"/>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（一）门架系统关键设备：RSU天线、车牌识别摄像机、工控机（含硬盘）、4G路由器、防火墙、工业以太网交换机、防雷设备、服务器；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（二）ETC车道关键设备：RSU车道天线、车牌识别摄像机、工控机（含硬盘）、兼容CPC卡读卡器、光栅、栏杆机、费额显示器、第三方支付扫码器、票据打印机；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（三）通行介质：OBU车载装置、CPU卡、CPC卡。</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1"/>
        <w:rPr>
          <w:rFonts w:hint="eastAsia" w:ascii="仿宋" w:hAnsi="仿宋" w:eastAsia="仿宋" w:cs="仿宋"/>
          <w:color w:val="000000"/>
          <w:sz w:val="28"/>
          <w:szCs w:val="28"/>
          <w:highlight w:val="none"/>
          <w:lang w:val="en-US" w:eastAsia="zh-CN"/>
        </w:rPr>
      </w:pPr>
      <w:bookmarkStart w:id="3" w:name="_Toc9502"/>
      <w:r>
        <w:rPr>
          <w:rFonts w:hint="eastAsia" w:ascii="仿宋" w:hAnsi="仿宋" w:eastAsia="仿宋" w:cs="仿宋"/>
          <w:color w:val="000000"/>
          <w:sz w:val="28"/>
          <w:szCs w:val="28"/>
          <w:highlight w:val="none"/>
          <w:lang w:val="en-US" w:eastAsia="zh-CN"/>
        </w:rPr>
        <w:t>1.3 测试依据</w:t>
      </w:r>
      <w:bookmarkEnd w:id="3"/>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（1）《电子收费专用短程通信 第1部分：物理层》（GB/T 20851.1-2019）；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（2）《电子收费专用短程通信 第2部分：数据链路层》（GB/T 20852.4-2019）；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（3）《电子收费专用短程通信 第3部分：应用层》（GB/T 20851.3-2019）；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（4）《电子收费专用短程通信 第4部分：设备应用》（GB/T 20851.4-2019）；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（5）《电子收费专用短程通信 第5部分：物理层主要参数测试方法》（GB/T 20851.5-2019）；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（6）《电子收费基于专用短程通信的电子收费交易》（GB/T 28421-2012）；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（7）《电子收费关键信息编码》（GB/T 28422-2012）；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（8）《收费公路联网收费技术要求》（交通运输部2007年第35号公告）；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（9）《收费公路联网电子不停车收费技术要求》（交通运输部2011年第13号公告）；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（10）《收费公路联网收费多义性路径识别技术要求》（交通运输部2015年第40号公告）；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（11）《全国高速公路电子不停车收费联网总体技术方案》；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（12）《全国高速公路电子不停车收费联网联合测试方案》；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（13）《收费公路通行费增值税电子普通发票开具总体技术方案》（交办公路〔2017〕116号）；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（14）《取消高速公路省界收费站总体技术方案》；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（15）《高速公路复合通行卡（CPC）技术要求》（交通部2019年6月公告）；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（16）《收费公路联网收费运营和服务规则（试行）》；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（17）《中华人民共和国机动车号牌》（GA 36-2018）；</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（18）《汽车号牌视频自动识别系统》（JT/T 604-2011）；</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（19）《联网电子不停车收费关键设备（RSU、OBU及卡）检测技术规范》（DB53/T 2008-2015）；</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（20）《信息安全技术信息系统安全等级保护基本要求》（GB/T 22239-2019）；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（21）《计算机信息系统安全等级划分准则》（GB 17859-1999）；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（22）《信息安全技术信息系统安全等级保护测评要求》（GB/T 28448-2012）；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（23）《公路养护安全作业规程》（JTG H30-2015）；</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（24）《取消高速公路省界收费站工程建设方案》（交公路函〔2019〕387号）；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（25）《取消高速公路省界收费站总体技术方案》（交公路函〔2019〕320号）；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（26）《信息安全技术信息安全风险评估规范》（GB/T 20984-2007）；</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（27）《信息技术安全技术信息安全管理实用规则》（GB/T 22081-2008）；</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（28）《综合布线系统工程验收规范》（GB/T 50312-2016）；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（29）《车辆分离光栅》（GB/T 24966-2010）；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（30）《收费用电动栏杆》（GB/T 24973-2010）；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（31）《公路收费用费额显示器》（GB/T 27879-2011）；</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（32）《公路收费用票据打印机》（GB/T 24723-2009）；</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（33）《工业以太网交换机技术规范》（GB/T 30094-2013）；</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（34）《机动车号牌图像自动识别技术规范》（GA/T 833-2016）；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（35）《道路车辆智能监测记录系统通用技术条件》（GA/T 497-2016）；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（36）《信息安全技术 防火墙安全技术要求和测试评价方法》（GB/T 20281-2015）；</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（37）《雷电电磁脉冲的防护 第3部分 对浪涌保护器的要求》（GB/T 19271.3-2005）；</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（38）《信息技术 非接触式二维码扫描枪通用规范》（SJ/T 11601-2016）；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（39）《IPSec VPN技术规范》（GM/T 0022-2014）；</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（40）《系统与软件工程系统与软件质量要求和评价(SQuaRE) 第51部分：就绪可用软件产品(RUSP)的质量要求和测试细则》（GB/T 25000.51-2016）；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（41）《交通运输部办公厅关于印发&lt;高速公路ETC门架系统技术要求&gt;的通知》（交办公路函〔2019〕856号）；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（42）《交通运输部关于发布高速公路 ETC门架系统及关键设备检测规程的公告》（2019年第 59号）；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（43）国家和行业相关标准规范。</w:t>
      </w:r>
    </w:p>
    <w:p>
      <w:pPr>
        <w:pStyle w:val="2"/>
        <w:bidi w:val="0"/>
        <w:rPr>
          <w:rFonts w:hint="eastAsia" w:ascii="仿宋" w:hAnsi="仿宋" w:eastAsia="仿宋" w:cs="仿宋"/>
          <w:highlight w:val="none"/>
          <w:lang w:val="en-US" w:eastAsia="zh-CN"/>
        </w:rPr>
      </w:pPr>
      <w:bookmarkStart w:id="4" w:name="_Toc31765"/>
      <w:r>
        <w:rPr>
          <w:rFonts w:hint="eastAsia" w:ascii="仿宋" w:hAnsi="仿宋" w:eastAsia="仿宋" w:cs="仿宋"/>
          <w:highlight w:val="none"/>
          <w:lang w:val="en-US" w:eastAsia="zh-CN"/>
        </w:rPr>
        <w:t>2测试组织</w:t>
      </w:r>
      <w:bookmarkEnd w:id="4"/>
    </w:p>
    <w:p>
      <w:pPr>
        <w:pStyle w:val="3"/>
        <w:numPr>
          <w:ilvl w:val="1"/>
          <w:numId w:val="0"/>
        </w:numPr>
        <w:bidi w:val="0"/>
        <w:ind w:leftChars="0"/>
        <w:rPr>
          <w:rFonts w:hint="eastAsia" w:ascii="仿宋" w:hAnsi="仿宋" w:eastAsia="仿宋" w:cs="仿宋"/>
          <w:highlight w:val="none"/>
          <w:lang w:val="en-US" w:eastAsia="zh-CN"/>
        </w:rPr>
      </w:pPr>
      <w:bookmarkStart w:id="5" w:name="_Toc4220"/>
      <w:r>
        <w:rPr>
          <w:rFonts w:hint="eastAsia" w:ascii="仿宋" w:hAnsi="仿宋" w:eastAsia="仿宋" w:cs="仿宋"/>
          <w:highlight w:val="none"/>
          <w:lang w:val="en-US" w:eastAsia="zh-CN"/>
        </w:rPr>
        <w:t>2.1资格要求</w:t>
      </w:r>
      <w:bookmarkEnd w:id="5"/>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报名参测厂商应满足以下条件：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（1）参测单位应为在中华人民共和国境内注册，具有独立法人地位，持有效营业执照，经营范围包含相关产品的生产、制造和供货。具备承担相应的法律与经济责任的能力；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（2）参测单位具有完善的产品质量生产控制流程，通过ISO9000系列质量管理体系认证；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（3）参测单位近三年来，在经营活动中没有重大违法、违规纪录；没有处于被责令停业、财产被接管、冻结、破产状态；未处于投标禁入期；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（4）参测单位中如有多家公司负责人为同一人或者存在控股、管理等关联关系的，只能有一家公司参加本次测试；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（5）本次测试不接受代理商报名。</w:t>
      </w:r>
    </w:p>
    <w:p>
      <w:pPr>
        <w:pStyle w:val="3"/>
        <w:numPr>
          <w:ilvl w:val="1"/>
          <w:numId w:val="0"/>
        </w:numPr>
        <w:bidi w:val="0"/>
        <w:ind w:leftChars="0"/>
        <w:rPr>
          <w:rFonts w:hint="eastAsia" w:ascii="仿宋" w:hAnsi="仿宋" w:eastAsia="仿宋" w:cs="仿宋"/>
          <w:highlight w:val="none"/>
          <w:lang w:val="en-US" w:eastAsia="zh-CN"/>
        </w:rPr>
      </w:pPr>
      <w:bookmarkStart w:id="6" w:name="_Toc20882"/>
      <w:r>
        <w:rPr>
          <w:rFonts w:hint="eastAsia" w:ascii="仿宋" w:hAnsi="仿宋" w:eastAsia="仿宋" w:cs="仿宋"/>
          <w:highlight w:val="none"/>
          <w:lang w:val="en-US" w:eastAsia="zh-CN"/>
        </w:rPr>
        <w:t>2.2报名和资格预审</w:t>
      </w:r>
      <w:bookmarkEnd w:id="6"/>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申请参测厂商必须按要求持以下资料到联网公司现场报名，申请人提供资料如不全，测试组织方将拒绝该生产商参与此次测试：</w:t>
      </w:r>
    </w:p>
    <w:p>
      <w:pPr>
        <w:pStyle w:val="13"/>
        <w:numPr>
          <w:ilvl w:val="0"/>
          <w:numId w:val="0"/>
        </w:numPr>
        <w:spacing w:line="300" w:lineRule="auto"/>
        <w:ind w:firstLine="560" w:firstLineChars="200"/>
        <w:jc w:val="left"/>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（1）参加测试申请书，附件1；</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（2）授权代理人（经办人）身份证原件及复印件。</w:t>
      </w:r>
    </w:p>
    <w:p>
      <w:pPr>
        <w:pStyle w:val="13"/>
        <w:numPr>
          <w:ilvl w:val="0"/>
          <w:numId w:val="0"/>
        </w:numPr>
        <w:spacing w:line="300" w:lineRule="auto"/>
        <w:ind w:firstLine="560" w:firstLineChars="200"/>
        <w:jc w:val="left"/>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（3）生产商企业营业执照副本(或正本)的复印件；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（4）ISO9000系列质量管理体系认证的复印件；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（5）“中国裁判文书网”查询公司无重大违法和违规纪录的网页截图；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（6）云南省公路收费系统关键设备入网检测及联调测试设备信息表，附件2；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（7）云南省公路收费系统关键设备入网检测及联调测试承诺书，附件3。</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val="en-US" w:eastAsia="zh-CN"/>
        </w:rPr>
        <w:t>上述资料提交纸质版一式两份，所有纸质资料逐页加盖单位公章，依次装订（若一个厂家有多种设备提交测试，不同种类的设备应该分别装订成册提交），同时将扫描件发至指定邮箱:1465422947@qq.com。</w:t>
      </w:r>
    </w:p>
    <w:p>
      <w:pPr>
        <w:pStyle w:val="3"/>
        <w:numPr>
          <w:ilvl w:val="1"/>
          <w:numId w:val="0"/>
        </w:numPr>
        <w:bidi w:val="0"/>
        <w:ind w:leftChars="0"/>
        <w:rPr>
          <w:rFonts w:hint="eastAsia" w:ascii="仿宋" w:hAnsi="仿宋" w:eastAsia="仿宋" w:cs="仿宋"/>
          <w:highlight w:val="none"/>
          <w:lang w:val="en-US" w:eastAsia="zh-CN"/>
        </w:rPr>
      </w:pPr>
      <w:bookmarkStart w:id="7" w:name="_Toc29922"/>
      <w:r>
        <w:rPr>
          <w:rFonts w:hint="eastAsia" w:ascii="仿宋" w:hAnsi="仿宋" w:eastAsia="仿宋" w:cs="仿宋"/>
          <w:highlight w:val="none"/>
          <w:lang w:val="en-US" w:eastAsia="zh-CN"/>
        </w:rPr>
        <w:t>2.3时间安排</w:t>
      </w:r>
      <w:bookmarkEnd w:id="7"/>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报名时间：</w:t>
      </w:r>
      <w:r>
        <w:rPr>
          <w:rFonts w:hint="eastAsia" w:ascii="仿宋" w:hAnsi="仿宋" w:eastAsia="仿宋" w:cs="仿宋"/>
          <w:sz w:val="30"/>
          <w:szCs w:val="30"/>
          <w:highlight w:val="none"/>
          <w:lang w:val="en-US" w:eastAsia="zh-CN"/>
        </w:rPr>
        <w:t>本次报名时间自通知印发之日至2021年3月30日止，上午9:00至11:30，下午14:00至17:00，双休日除外。（今后报名时间：每年的测试结果印发之日至次年3月30日，如有变化另行通知）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测试时间：每年开展1次，暂定为每年4月1日至4月30日，如有变化另行通知。</w:t>
      </w:r>
    </w:p>
    <w:p>
      <w:pPr>
        <w:pStyle w:val="3"/>
        <w:numPr>
          <w:ilvl w:val="1"/>
          <w:numId w:val="0"/>
        </w:numPr>
        <w:bidi w:val="0"/>
        <w:ind w:leftChars="0"/>
        <w:rPr>
          <w:rFonts w:hint="default" w:ascii="仿宋" w:hAnsi="仿宋" w:eastAsia="仿宋" w:cs="仿宋"/>
          <w:highlight w:val="none"/>
          <w:lang w:val="en-US" w:eastAsia="zh-CN"/>
        </w:rPr>
      </w:pPr>
      <w:bookmarkStart w:id="8" w:name="_Toc29416"/>
      <w:r>
        <w:rPr>
          <w:rFonts w:hint="eastAsia" w:ascii="仿宋" w:hAnsi="仿宋" w:eastAsia="仿宋" w:cs="仿宋"/>
          <w:highlight w:val="none"/>
          <w:lang w:val="en-US" w:eastAsia="zh-CN"/>
        </w:rPr>
        <w:t>2.4 测试人员安排</w:t>
      </w:r>
      <w:bookmarkEnd w:id="8"/>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center"/>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1"/>
          <w:szCs w:val="21"/>
          <w:highlight w:val="none"/>
          <w:lang w:val="en-US" w:eastAsia="zh-CN"/>
        </w:rPr>
        <w:t>表2.1 测试人员安排明细表</w:t>
      </w:r>
    </w:p>
    <w:tbl>
      <w:tblPr>
        <w:tblStyle w:val="10"/>
        <w:tblW w:w="5836" w:type="dxa"/>
        <w:jc w:val="center"/>
        <w:tblInd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00"/>
        <w:gridCol w:w="885"/>
        <w:gridCol w:w="2392"/>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blHeader/>
          <w:jc w:val="center"/>
        </w:trPr>
        <w:tc>
          <w:tcPr>
            <w:tcW w:w="759" w:type="dxa"/>
            <w:tcBorders>
              <w:tl2br w:val="nil"/>
              <w:tr2bl w:val="nil"/>
            </w:tcBorders>
            <w:noWrap w:val="0"/>
            <w:vAlign w:val="center"/>
          </w:tcPr>
          <w:p>
            <w:pPr>
              <w:autoSpaceDE w:val="0"/>
              <w:autoSpaceDN w:val="0"/>
              <w:adjustRightInd w:val="0"/>
              <w:jc w:val="center"/>
              <w:rPr>
                <w:rFonts w:hint="eastAsia" w:ascii="仿宋" w:hAnsi="仿宋" w:eastAsia="仿宋" w:cs="仿宋"/>
                <w:b/>
                <w:szCs w:val="21"/>
                <w:highlight w:val="none"/>
                <w:lang w:val="en-US" w:eastAsia="zh-CN"/>
              </w:rPr>
            </w:pPr>
            <w:r>
              <w:rPr>
                <w:rFonts w:hint="eastAsia" w:ascii="仿宋" w:hAnsi="仿宋" w:eastAsia="仿宋" w:cs="仿宋"/>
                <w:b/>
                <w:szCs w:val="21"/>
                <w:highlight w:val="none"/>
                <w:lang w:val="en-US" w:eastAsia="zh-CN"/>
              </w:rPr>
              <w:t>序号</w:t>
            </w:r>
          </w:p>
        </w:tc>
        <w:tc>
          <w:tcPr>
            <w:tcW w:w="1800" w:type="dxa"/>
            <w:tcBorders>
              <w:tl2br w:val="nil"/>
              <w:tr2bl w:val="nil"/>
            </w:tcBorders>
            <w:noWrap w:val="0"/>
            <w:vAlign w:val="center"/>
          </w:tcPr>
          <w:p>
            <w:pPr>
              <w:autoSpaceDE w:val="0"/>
              <w:autoSpaceDN w:val="0"/>
              <w:adjustRightInd w:val="0"/>
              <w:jc w:val="center"/>
              <w:rPr>
                <w:rFonts w:hint="eastAsia" w:ascii="仿宋" w:hAnsi="仿宋" w:eastAsia="仿宋" w:cs="仿宋"/>
                <w:b/>
                <w:szCs w:val="21"/>
                <w:highlight w:val="none"/>
              </w:rPr>
            </w:pPr>
            <w:r>
              <w:rPr>
                <w:rFonts w:hint="eastAsia" w:ascii="仿宋" w:hAnsi="仿宋" w:eastAsia="仿宋" w:cs="仿宋"/>
                <w:b/>
                <w:szCs w:val="21"/>
                <w:highlight w:val="none"/>
              </w:rPr>
              <w:t>姓名</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b/>
                <w:szCs w:val="21"/>
                <w:highlight w:val="none"/>
              </w:rPr>
            </w:pPr>
            <w:r>
              <w:rPr>
                <w:rFonts w:hint="eastAsia" w:ascii="仿宋" w:hAnsi="仿宋" w:eastAsia="仿宋" w:cs="仿宋"/>
                <w:b/>
                <w:szCs w:val="21"/>
                <w:highlight w:val="none"/>
              </w:rPr>
              <w:t>性别</w:t>
            </w:r>
          </w:p>
        </w:tc>
        <w:tc>
          <w:tcPr>
            <w:tcW w:w="2392" w:type="dxa"/>
            <w:tcBorders>
              <w:tl2br w:val="nil"/>
              <w:tr2bl w:val="nil"/>
            </w:tcBorders>
            <w:noWrap w:val="0"/>
            <w:vAlign w:val="center"/>
          </w:tcPr>
          <w:p>
            <w:pPr>
              <w:autoSpaceDE w:val="0"/>
              <w:autoSpaceDN w:val="0"/>
              <w:adjustRightInd w:val="0"/>
              <w:jc w:val="center"/>
              <w:rPr>
                <w:rFonts w:hint="default" w:ascii="仿宋" w:hAnsi="仿宋" w:eastAsia="仿宋" w:cs="仿宋"/>
                <w:b/>
                <w:szCs w:val="21"/>
                <w:highlight w:val="none"/>
                <w:lang w:val="en-US" w:eastAsia="zh-CN"/>
              </w:rPr>
            </w:pPr>
            <w:r>
              <w:rPr>
                <w:rFonts w:hint="eastAsia" w:ascii="仿宋" w:hAnsi="仿宋" w:eastAsia="仿宋" w:cs="仿宋"/>
                <w:b/>
                <w:szCs w:val="21"/>
                <w:highlight w:val="none"/>
                <w:lang w:val="en-US" w:eastAsia="zh-CN"/>
              </w:rPr>
              <w:t>职责及分工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1</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eastAsia="zh-CN"/>
              </w:rPr>
            </w:pPr>
            <w:r>
              <w:rPr>
                <w:rFonts w:hint="eastAsia" w:ascii="仿宋" w:hAnsi="仿宋" w:eastAsia="仿宋" w:cs="仿宋"/>
                <w:color w:val="000000"/>
                <w:szCs w:val="21"/>
                <w:highlight w:val="none"/>
                <w:lang w:val="en-US" w:eastAsia="zh-CN"/>
              </w:rPr>
              <w:t>肖强</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rPr>
            </w:pPr>
            <w:r>
              <w:rPr>
                <w:rFonts w:hint="eastAsia" w:ascii="仿宋" w:hAnsi="仿宋" w:eastAsia="仿宋" w:cs="仿宋"/>
                <w:szCs w:val="21"/>
                <w:highlight w:val="none"/>
              </w:rPr>
              <w:t>项目负责人</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2</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王立军</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项目</w:t>
            </w:r>
            <w:r>
              <w:rPr>
                <w:rFonts w:hint="eastAsia" w:ascii="仿宋" w:hAnsi="仿宋" w:eastAsia="仿宋" w:cs="仿宋"/>
                <w:szCs w:val="21"/>
                <w:highlight w:val="none"/>
              </w:rPr>
              <w:t>质量负责人</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3</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eastAsia="zh-CN"/>
              </w:rPr>
            </w:pPr>
            <w:r>
              <w:rPr>
                <w:rFonts w:hint="eastAsia" w:ascii="仿宋" w:hAnsi="仿宋" w:eastAsia="仿宋" w:cs="仿宋"/>
                <w:color w:val="000000"/>
                <w:szCs w:val="21"/>
                <w:highlight w:val="none"/>
                <w:lang w:val="en-US" w:eastAsia="zh-CN"/>
              </w:rPr>
              <w:t>张吉光</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rPr>
            </w:pPr>
            <w:r>
              <w:rPr>
                <w:rFonts w:hint="eastAsia" w:ascii="仿宋" w:hAnsi="仿宋" w:eastAsia="仿宋" w:cs="仿宋"/>
                <w:szCs w:val="21"/>
                <w:highlight w:val="none"/>
                <w:lang w:val="en-US" w:eastAsia="zh-CN"/>
              </w:rPr>
              <w:t>项目</w:t>
            </w:r>
            <w:r>
              <w:rPr>
                <w:rFonts w:hint="eastAsia" w:ascii="仿宋" w:hAnsi="仿宋" w:eastAsia="仿宋" w:cs="仿宋"/>
                <w:szCs w:val="21"/>
                <w:highlight w:val="none"/>
              </w:rPr>
              <w:t>技术负责人</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4</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刘杨波</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rPr>
            </w:pPr>
            <w:r>
              <w:rPr>
                <w:rFonts w:hint="eastAsia" w:ascii="仿宋" w:hAnsi="仿宋" w:eastAsia="仿宋" w:cs="仿宋"/>
                <w:szCs w:val="21"/>
                <w:highlight w:val="none"/>
              </w:rPr>
              <w:t>联络员</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5</w:t>
            </w:r>
          </w:p>
        </w:tc>
        <w:tc>
          <w:tcPr>
            <w:tcW w:w="1800" w:type="dxa"/>
            <w:tcBorders>
              <w:tl2br w:val="nil"/>
              <w:tr2bl w:val="nil"/>
            </w:tcBorders>
            <w:noWrap w:val="0"/>
            <w:vAlign w:val="center"/>
          </w:tcPr>
          <w:p>
            <w:pPr>
              <w:jc w:val="left"/>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孙瑜璟</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女</w:t>
            </w:r>
          </w:p>
        </w:tc>
        <w:tc>
          <w:tcPr>
            <w:tcW w:w="2392" w:type="dxa"/>
            <w:vMerge w:val="restart"/>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室内检测组</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6</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张娜</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lang w:val="en-US" w:eastAsia="zh-CN"/>
              </w:rPr>
              <w:t>女</w:t>
            </w:r>
          </w:p>
        </w:tc>
        <w:tc>
          <w:tcPr>
            <w:tcW w:w="2392" w:type="dxa"/>
            <w:vMerge w:val="continue"/>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7</w:t>
            </w:r>
          </w:p>
        </w:tc>
        <w:tc>
          <w:tcPr>
            <w:tcW w:w="1800" w:type="dxa"/>
            <w:tcBorders>
              <w:tl2br w:val="nil"/>
              <w:tr2bl w:val="nil"/>
            </w:tcBorders>
            <w:noWrap w:val="0"/>
            <w:vAlign w:val="center"/>
          </w:tcPr>
          <w:p>
            <w:pPr>
              <w:jc w:val="left"/>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净亮</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vMerge w:val="restart"/>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室外检测组</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8</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郝地龙</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rPr>
              <w:t>男</w:t>
            </w:r>
          </w:p>
        </w:tc>
        <w:tc>
          <w:tcPr>
            <w:tcW w:w="2392" w:type="dxa"/>
            <w:vMerge w:val="continue"/>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9</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张乘蜜</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lang w:val="en-US" w:eastAsia="zh-CN"/>
              </w:rPr>
              <w:t>男</w:t>
            </w:r>
          </w:p>
        </w:tc>
        <w:tc>
          <w:tcPr>
            <w:tcW w:w="2392" w:type="dxa"/>
            <w:vMerge w:val="restart"/>
            <w:tcBorders>
              <w:tl2br w:val="nil"/>
              <w:tr2bl w:val="nil"/>
            </w:tcBorders>
            <w:noWrap w:val="0"/>
            <w:vAlign w:val="center"/>
          </w:tcPr>
          <w:p>
            <w:pPr>
              <w:autoSpaceDE w:val="0"/>
              <w:autoSpaceDN w:val="0"/>
              <w:adjustRightInd w:val="0"/>
              <w:jc w:val="left"/>
              <w:rPr>
                <w:rFonts w:hint="default" w:ascii="仿宋" w:hAnsi="仿宋" w:eastAsia="仿宋" w:cs="仿宋"/>
                <w:szCs w:val="21"/>
                <w:highlight w:val="none"/>
                <w:lang w:val="en-US" w:eastAsia="zh-CN"/>
              </w:rPr>
            </w:pPr>
            <w:r>
              <w:rPr>
                <w:rFonts w:hint="eastAsia" w:ascii="仿宋" w:hAnsi="仿宋" w:eastAsia="仿宋" w:cs="仿宋"/>
                <w:szCs w:val="21"/>
                <w:highlight w:val="none"/>
                <w:lang w:val="en-US" w:eastAsia="zh-CN"/>
              </w:rPr>
              <w:t>软件配合组</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10</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金照奇</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Cs w:val="21"/>
                <w:highlight w:val="none"/>
                <w:lang w:val="en-US" w:eastAsia="zh-CN"/>
              </w:rPr>
              <w:t>男</w:t>
            </w:r>
          </w:p>
        </w:tc>
        <w:tc>
          <w:tcPr>
            <w:tcW w:w="2392" w:type="dxa"/>
            <w:vMerge w:val="continue"/>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11</w:t>
            </w:r>
          </w:p>
        </w:tc>
        <w:tc>
          <w:tcPr>
            <w:tcW w:w="1800" w:type="dxa"/>
            <w:tcBorders>
              <w:tl2br w:val="nil"/>
              <w:tr2bl w:val="nil"/>
            </w:tcBorders>
            <w:noWrap w:val="0"/>
            <w:vAlign w:val="center"/>
          </w:tcPr>
          <w:p>
            <w:pPr>
              <w:jc w:val="left"/>
              <w:rPr>
                <w:rFonts w:hint="eastAsia" w:ascii="仿宋" w:hAnsi="仿宋" w:eastAsia="仿宋" w:cs="仿宋"/>
                <w:color w:val="000000"/>
                <w:szCs w:val="21"/>
                <w:highlight w:val="none"/>
                <w:lang w:val="en-US" w:eastAsia="zh-CN"/>
              </w:rPr>
            </w:pPr>
            <w:r>
              <w:rPr>
                <w:rFonts w:hint="eastAsia" w:ascii="仿宋" w:hAnsi="仿宋" w:eastAsia="仿宋" w:cs="仿宋"/>
                <w:color w:val="000000"/>
                <w:sz w:val="21"/>
                <w:szCs w:val="21"/>
                <w:lang w:val="en-US" w:eastAsia="zh-CN"/>
              </w:rPr>
              <w:t>朱丽霞</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rPr>
            </w:pPr>
            <w:r>
              <w:rPr>
                <w:rFonts w:hint="eastAsia" w:ascii="仿宋" w:hAnsi="仿宋" w:eastAsia="仿宋" w:cs="仿宋"/>
                <w:sz w:val="21"/>
                <w:szCs w:val="21"/>
                <w:lang w:val="en-US" w:eastAsia="zh-CN"/>
              </w:rPr>
              <w:t>女</w:t>
            </w:r>
          </w:p>
        </w:tc>
        <w:tc>
          <w:tcPr>
            <w:tcW w:w="2392" w:type="dxa"/>
            <w:vMerge w:val="restart"/>
            <w:tcBorders>
              <w:tl2br w:val="nil"/>
              <w:tr2bl w:val="nil"/>
            </w:tcBorders>
            <w:noWrap w:val="0"/>
            <w:vAlign w:val="center"/>
          </w:tcPr>
          <w:p>
            <w:pPr>
              <w:autoSpaceDE w:val="0"/>
              <w:autoSpaceDN w:val="0"/>
              <w:adjustRightInd w:val="0"/>
              <w:jc w:val="left"/>
              <w:rPr>
                <w:rFonts w:hint="eastAsia" w:ascii="仿宋" w:hAnsi="仿宋" w:eastAsia="仿宋" w:cs="仿宋"/>
                <w:szCs w:val="21"/>
                <w:highlight w:val="none"/>
                <w:lang w:val="en-US" w:eastAsia="zh-CN"/>
              </w:rPr>
            </w:pPr>
            <w:r>
              <w:rPr>
                <w:rFonts w:hint="eastAsia" w:ascii="仿宋" w:hAnsi="仿宋" w:eastAsia="仿宋" w:cs="仿宋"/>
                <w:sz w:val="21"/>
                <w:szCs w:val="21"/>
                <w:lang w:val="en-US" w:eastAsia="zh-CN"/>
              </w:rPr>
              <w:t>业务配合组</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12</w:t>
            </w:r>
          </w:p>
        </w:tc>
        <w:tc>
          <w:tcPr>
            <w:tcW w:w="1800" w:type="dxa"/>
            <w:tcBorders>
              <w:tl2br w:val="nil"/>
              <w:tr2bl w:val="nil"/>
            </w:tcBorders>
            <w:noWrap w:val="0"/>
            <w:vAlign w:val="center"/>
          </w:tcPr>
          <w:p>
            <w:pPr>
              <w:jc w:val="left"/>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王军杰</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女</w:t>
            </w:r>
          </w:p>
        </w:tc>
        <w:tc>
          <w:tcPr>
            <w:tcW w:w="2392" w:type="dxa"/>
            <w:vMerge w:val="continue"/>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lang w:val="en-US" w:eastAsia="zh-CN"/>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59" w:type="dxa"/>
            <w:tcBorders>
              <w:tl2br w:val="nil"/>
              <w:tr2bl w:val="nil"/>
            </w:tcBorders>
            <w:noWrap w:val="0"/>
            <w:vAlign w:val="center"/>
          </w:tcPr>
          <w:p>
            <w:pPr>
              <w:jc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13</w:t>
            </w:r>
          </w:p>
        </w:tc>
        <w:tc>
          <w:tcPr>
            <w:tcW w:w="1800" w:type="dxa"/>
            <w:tcBorders>
              <w:tl2br w:val="nil"/>
              <w:tr2bl w:val="nil"/>
            </w:tcBorders>
            <w:noWrap w:val="0"/>
            <w:vAlign w:val="center"/>
          </w:tcPr>
          <w:p>
            <w:pPr>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赵东升</w:t>
            </w:r>
          </w:p>
        </w:tc>
        <w:tc>
          <w:tcPr>
            <w:tcW w:w="885" w:type="dxa"/>
            <w:tcBorders>
              <w:tl2br w:val="nil"/>
              <w:tr2bl w:val="nil"/>
            </w:tcBorders>
            <w:noWrap w:val="0"/>
            <w:vAlign w:val="center"/>
          </w:tcPr>
          <w:p>
            <w:pPr>
              <w:autoSpaceDE w:val="0"/>
              <w:autoSpaceDN w:val="0"/>
              <w:adjustRightIn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男</w:t>
            </w:r>
          </w:p>
        </w:tc>
        <w:tc>
          <w:tcPr>
            <w:tcW w:w="2392" w:type="dxa"/>
            <w:vMerge w:val="continue"/>
            <w:tcBorders>
              <w:tl2br w:val="nil"/>
              <w:tr2bl w:val="nil"/>
            </w:tcBorders>
            <w:noWrap w:val="0"/>
            <w:vAlign w:val="center"/>
          </w:tcPr>
          <w:p>
            <w:pPr>
              <w:autoSpaceDE w:val="0"/>
              <w:autoSpaceDN w:val="0"/>
              <w:adjustRightInd w:val="0"/>
              <w:jc w:val="center"/>
              <w:rPr>
                <w:rFonts w:hint="eastAsia" w:ascii="仿宋" w:hAnsi="仿宋" w:eastAsia="仿宋" w:cs="仿宋"/>
                <w:szCs w:val="21"/>
                <w:highlight w:val="none"/>
                <w:lang w:val="en-US" w:eastAsia="zh-CN"/>
              </w:rPr>
            </w:pPr>
          </w:p>
        </w:tc>
      </w:tr>
    </w:tbl>
    <w:p>
      <w:pPr>
        <w:pStyle w:val="3"/>
        <w:numPr>
          <w:ilvl w:val="1"/>
          <w:numId w:val="0"/>
        </w:numPr>
        <w:bidi w:val="0"/>
        <w:ind w:leftChars="0"/>
        <w:rPr>
          <w:rFonts w:hint="eastAsia" w:ascii="仿宋" w:hAnsi="仿宋" w:eastAsia="仿宋" w:cs="仿宋"/>
          <w:highlight w:val="none"/>
          <w:lang w:val="en-US" w:eastAsia="zh-CN"/>
        </w:rPr>
      </w:pPr>
      <w:bookmarkStart w:id="9" w:name="_Toc11747"/>
      <w:r>
        <w:rPr>
          <w:rFonts w:hint="eastAsia" w:ascii="仿宋" w:hAnsi="仿宋" w:eastAsia="仿宋" w:cs="仿宋"/>
          <w:highlight w:val="none"/>
          <w:lang w:val="en-US" w:eastAsia="zh-CN"/>
        </w:rPr>
        <w:t>2.5产品资料要求</w:t>
      </w:r>
      <w:bookmarkEnd w:id="9"/>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报名成功后，参测厂商随产品提供下列技术资料（一式两份，逐页加盖单位公章供核查），设备涉及软件控制的，需要提供测试软件光盘或U盘。如未提供以下产品资料或资料核验不合格，则不进下一测试阶段：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（1）RSU天线、工控机、兼容CPC卡读卡器、光栅、栏杆机、费额显示器、票据打印机、OBU车载装置、CPU卡、CPC卡需提供交通运输部型式检验报告，且在有效期内；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（2）车牌识别摄像机和高清摄像机还需提供公安部或交通部检验检测中心的型式检验报告；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（3）服务器需提供CCC认证测试报告，产品技术资料；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4G路由器、工业以太网交换机应提供工信部入网许可证或工信部进网检验报告或中国泰尔实验室出具的检测报告（主要包含以下8个质检中心：国家电话机质量监督检验中心、信息产业北京移动通信设备质量监督检验中心、信息产业图文通信设备质量监督检验中心、信息产业北京电话交换设备质量监督检验中心、信息产业通信电磁兼容质量监督检验中心、信息产业通信软件测评中心、信息产业邮电工业产品质量监督检验中心、信息产业通信设备抗震性能质量监督检验中心），以及其他权威第三方检测报告，及产品技术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防火墙或安全网关应提供公安部颁发的防火墙《计算机信息系统安全专用产品销售许可证》（增强级），还需提供中国网络安全审查技术与认证中心（CCRC，原中国信息安全认证中心）的产品检测报告或《中国国家信息安全产品认证证书》，防火墙或安全网关应支持国密算法，宜提供国家密码管理局颁发的《商用密码产品型号证书》，以及相关技术资料，应提供IPV6 ready证书；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（6）防雷设备需提供具有防雷检测资质的第三方机构出具的防雷检测报告，且提供的检测报告项目参数需满足《低压电涌保护器(SPD) 第1部分 低压配电系统的保护器性能要求和试验方法》（GB 18802.1-2011）的型式检验要求，以及相关技术资料。</w:t>
      </w:r>
    </w:p>
    <w:p>
      <w:pPr>
        <w:pStyle w:val="2"/>
        <w:bidi w:val="0"/>
        <w:rPr>
          <w:rFonts w:hint="eastAsia" w:ascii="仿宋" w:hAnsi="仿宋" w:eastAsia="仿宋" w:cs="仿宋"/>
          <w:highlight w:val="none"/>
          <w:lang w:val="en-US" w:eastAsia="zh-CN"/>
        </w:rPr>
      </w:pPr>
      <w:bookmarkStart w:id="10" w:name="_Toc22269"/>
      <w:r>
        <w:rPr>
          <w:rFonts w:hint="eastAsia" w:ascii="仿宋" w:hAnsi="仿宋" w:eastAsia="仿宋" w:cs="仿宋"/>
          <w:highlight w:val="none"/>
          <w:lang w:val="en-US" w:eastAsia="zh-CN"/>
        </w:rPr>
        <w:t>3 检测流程及检测参数</w:t>
      </w:r>
      <w:bookmarkEnd w:id="10"/>
    </w:p>
    <w:p>
      <w:pPr>
        <w:pStyle w:val="3"/>
        <w:numPr>
          <w:ilvl w:val="1"/>
          <w:numId w:val="0"/>
        </w:numPr>
        <w:bidi w:val="0"/>
        <w:ind w:leftChars="0"/>
        <w:rPr>
          <w:rFonts w:hint="eastAsia" w:ascii="仿宋" w:hAnsi="仿宋" w:eastAsia="仿宋" w:cs="仿宋"/>
          <w:highlight w:val="none"/>
          <w:lang w:val="en-US" w:eastAsia="zh-CN"/>
        </w:rPr>
      </w:pPr>
      <w:bookmarkStart w:id="11" w:name="_Toc8705"/>
      <w:r>
        <w:rPr>
          <w:rFonts w:hint="eastAsia" w:ascii="仿宋" w:hAnsi="仿宋" w:eastAsia="仿宋" w:cs="仿宋"/>
          <w:highlight w:val="none"/>
          <w:lang w:val="en-US" w:eastAsia="zh-CN"/>
        </w:rPr>
        <w:t>3.1工作流程概述</w:t>
      </w:r>
      <w:bookmarkEnd w:id="1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第一阶段：资料查验。通过报名厂商提供的参测产品技术资料，对厂商技术能力及产品技术参数达标情况进行符合性审查，确定参测名单。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第二阶段：样品送检。接收参测产品送样，协调沟通参测厂商技术人员、检测单位确定产品具体检测时间及地点。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第三阶段：试验室测试。根据参测产品参数要求完成试验室测试。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第四阶段：外场测试。根据参测产品参数要求完成外场测试。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第五阶段：数据整理及报告编撰。</w:t>
      </w:r>
    </w:p>
    <w:p>
      <w:pPr>
        <w:pStyle w:val="3"/>
        <w:numPr>
          <w:ilvl w:val="1"/>
          <w:numId w:val="0"/>
        </w:numPr>
        <w:bidi w:val="0"/>
        <w:ind w:leftChars="0"/>
        <w:rPr>
          <w:rFonts w:hint="eastAsia" w:ascii="仿宋" w:hAnsi="仿宋" w:eastAsia="仿宋" w:cs="仿宋"/>
          <w:highlight w:val="none"/>
          <w:lang w:val="en-US" w:eastAsia="zh-CN"/>
        </w:rPr>
      </w:pPr>
      <w:bookmarkStart w:id="12" w:name="_Toc12466"/>
      <w:bookmarkStart w:id="13" w:name="_Toc57378541"/>
      <w:r>
        <w:rPr>
          <w:rFonts w:hint="eastAsia" w:ascii="仿宋" w:hAnsi="仿宋" w:eastAsia="仿宋" w:cs="仿宋"/>
          <w:highlight w:val="none"/>
          <w:lang w:val="en-US" w:eastAsia="zh-CN"/>
        </w:rPr>
        <w:t>3.2检测参数</w:t>
      </w:r>
      <w:bookmarkEnd w:id="12"/>
      <w:bookmarkEnd w:id="13"/>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本测试项目涉及的产品类别及检测参数（包含但不限于）如下表：</w:t>
      </w:r>
    </w:p>
    <w:p>
      <w:pPr>
        <w:spacing w:line="360" w:lineRule="auto"/>
        <w:jc w:val="center"/>
        <w:rPr>
          <w:rFonts w:hint="eastAsia" w:ascii="仿宋" w:hAnsi="仿宋" w:eastAsia="仿宋" w:cs="仿宋"/>
          <w:b w:val="0"/>
          <w:bCs/>
          <w:szCs w:val="21"/>
          <w:highlight w:val="none"/>
        </w:rPr>
      </w:pPr>
      <w:r>
        <w:rPr>
          <w:rFonts w:hint="eastAsia" w:ascii="仿宋" w:hAnsi="仿宋" w:eastAsia="仿宋" w:cs="仿宋"/>
          <w:b w:val="0"/>
          <w:bCs/>
          <w:szCs w:val="21"/>
          <w:highlight w:val="none"/>
        </w:rPr>
        <w:t>表</w:t>
      </w:r>
      <w:r>
        <w:rPr>
          <w:rFonts w:hint="eastAsia" w:ascii="仿宋" w:hAnsi="仿宋" w:eastAsia="仿宋" w:cs="仿宋"/>
          <w:b w:val="0"/>
          <w:bCs/>
          <w:szCs w:val="21"/>
          <w:highlight w:val="none"/>
          <w:lang w:val="en-US" w:eastAsia="zh-CN"/>
        </w:rPr>
        <w:t>3.1</w:t>
      </w:r>
      <w:r>
        <w:rPr>
          <w:rFonts w:hint="eastAsia" w:ascii="仿宋" w:hAnsi="仿宋" w:eastAsia="仿宋" w:cs="仿宋"/>
          <w:b w:val="0"/>
          <w:bCs/>
          <w:szCs w:val="21"/>
          <w:highlight w:val="none"/>
        </w:rPr>
        <w:t xml:space="preserve"> </w:t>
      </w:r>
      <w:r>
        <w:rPr>
          <w:rFonts w:hint="eastAsia" w:ascii="仿宋" w:hAnsi="仿宋" w:eastAsia="仿宋" w:cs="仿宋"/>
          <w:b w:val="0"/>
          <w:bCs/>
          <w:szCs w:val="21"/>
          <w:highlight w:val="none"/>
          <w:lang w:val="en-US" w:eastAsia="zh-CN"/>
        </w:rPr>
        <w:t>产品类别及</w:t>
      </w:r>
      <w:r>
        <w:rPr>
          <w:rFonts w:hint="eastAsia" w:ascii="仿宋" w:hAnsi="仿宋" w:eastAsia="仿宋" w:cs="仿宋"/>
          <w:b w:val="0"/>
          <w:bCs/>
          <w:szCs w:val="21"/>
          <w:highlight w:val="none"/>
        </w:rPr>
        <w:t>检测参数表</w:t>
      </w:r>
    </w:p>
    <w:tbl>
      <w:tblPr>
        <w:tblStyle w:val="10"/>
        <w:tblW w:w="8804" w:type="dxa"/>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856"/>
        <w:gridCol w:w="2420"/>
        <w:gridCol w:w="1134"/>
        <w:gridCol w:w="4394"/>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95" w:hRule="atLeast"/>
          <w:tblHeader/>
        </w:trPr>
        <w:tc>
          <w:tcPr>
            <w:tcW w:w="856"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Cs w:val="21"/>
                <w:highlight w:val="none"/>
              </w:rPr>
            </w:pPr>
            <w:r>
              <w:rPr>
                <w:rFonts w:hint="eastAsia" w:ascii="仿宋" w:hAnsi="仿宋" w:eastAsia="仿宋" w:cs="仿宋"/>
                <w:b/>
                <w:color w:val="000000"/>
                <w:kern w:val="0"/>
                <w:szCs w:val="21"/>
                <w:highlight w:val="none"/>
                <w:lang w:bidi="ar"/>
              </w:rPr>
              <w:t>序号</w:t>
            </w:r>
          </w:p>
        </w:tc>
        <w:tc>
          <w:tcPr>
            <w:tcW w:w="2420"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Cs w:val="21"/>
                <w:highlight w:val="none"/>
              </w:rPr>
            </w:pPr>
            <w:r>
              <w:rPr>
                <w:rFonts w:hint="eastAsia" w:ascii="仿宋" w:hAnsi="仿宋" w:eastAsia="仿宋" w:cs="仿宋"/>
                <w:b/>
                <w:color w:val="000000"/>
                <w:kern w:val="0"/>
                <w:szCs w:val="21"/>
                <w:highlight w:val="none"/>
                <w:lang w:bidi="ar"/>
              </w:rPr>
              <w:t>产品类型</w:t>
            </w:r>
          </w:p>
        </w:tc>
        <w:tc>
          <w:tcPr>
            <w:tcW w:w="1134"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Cs w:val="21"/>
                <w:highlight w:val="none"/>
              </w:rPr>
            </w:pPr>
            <w:r>
              <w:rPr>
                <w:rFonts w:hint="eastAsia" w:ascii="仿宋" w:hAnsi="仿宋" w:eastAsia="仿宋" w:cs="仿宋"/>
                <w:b/>
                <w:color w:val="000000"/>
                <w:kern w:val="0"/>
                <w:szCs w:val="21"/>
                <w:highlight w:val="none"/>
                <w:lang w:bidi="ar"/>
              </w:rPr>
              <w:t>单位</w:t>
            </w:r>
          </w:p>
        </w:tc>
        <w:tc>
          <w:tcPr>
            <w:tcW w:w="4394"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Cs w:val="21"/>
                <w:highlight w:val="none"/>
              </w:rPr>
            </w:pPr>
            <w:r>
              <w:rPr>
                <w:rFonts w:hint="eastAsia" w:ascii="仿宋" w:hAnsi="仿宋" w:eastAsia="仿宋" w:cs="仿宋"/>
                <w:b/>
                <w:color w:val="000000"/>
                <w:kern w:val="0"/>
                <w:szCs w:val="21"/>
                <w:highlight w:val="none"/>
                <w:lang w:bidi="ar"/>
              </w:rPr>
              <w:t>各设备检测参数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Style w:val="14"/>
                <w:rFonts w:hint="eastAsia" w:ascii="仿宋" w:hAnsi="仿宋" w:eastAsia="仿宋" w:cs="仿宋"/>
                <w:highlight w:val="none"/>
                <w:lang w:bidi="ar"/>
              </w:rPr>
              <w:t>R</w:t>
            </w:r>
            <w:r>
              <w:rPr>
                <w:rStyle w:val="15"/>
                <w:rFonts w:hint="eastAsia" w:ascii="仿宋" w:hAnsi="仿宋" w:eastAsia="仿宋" w:cs="仿宋"/>
                <w:highlight w:val="none"/>
                <w:lang w:bidi="ar"/>
              </w:rPr>
              <w:t>SU天线（车道、门架）</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载波频率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频率容限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等效全向辐射功率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调制系数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占用带宽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杂散发射</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位速率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唤醒信号</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前导码</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邻道泄露功率比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接收灵敏度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同信道干扰抑制比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邻信道干扰抑制比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接收带宽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工作温度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协议符合性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互操作性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并发通信</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功耗</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编码方式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调制方式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后导码</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编码方式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位时钟精度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BER</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交易稳定性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兼容性（通信区域）</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兼容性（室外测试）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2</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车牌图像识别设备</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车牌图像识别功能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输出图片类型</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图像颜色</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分辨率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号牌种类</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图片编码格式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触发方式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远程校时</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传输接口</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补光灯控制</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支持工作状态应答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车辆捕获率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车牌图像识别准确率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外观和结构</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防水和防尘</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功耗</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耐机械制动性能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粉尘试验</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耐盐雾腐蚀性能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静电放电抗干扰性能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电快速瞬变脉冲抗干扰度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曝光方式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系统构成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功能要求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3</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OBU车载单元</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载波频率、频率容限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等效全向辐射功率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调制方式、调制系数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占用带宽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杂散发射</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位速率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邻道泄露功率比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OBU唤醒方式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OBU唤醒灵敏度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接收灵敏度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OBU接收带宽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前导码、后导码</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同信道干扰抑制比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邻信道干扰抑制比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防拆卸</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协议符合性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互操作性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工作温度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静电抗扰度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OBU唤醒时间</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编码方式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频率偏移</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位时钟精度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BER</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数据帧防碰撞要求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休眠要求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OBU应用层整体测试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OBU设备技术要求（不包括环境适应性）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一、二次发行测试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激活测试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室内交易测试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室外交易测试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耐机械振动性能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4</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CPC卡读卡器</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电磁兼容性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可靠性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硬件接口</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应用测试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5</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CPC卡</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组</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载波频率、频率容限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等效全向辐射功率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调制方式、调制系数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占用带宽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杂散发射</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位速率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邻道泄露功率比</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唤醒方式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唤醒灵敏度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接收灵敏度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接收带宽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前导码、后导码</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协议符合性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互操作性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工作温度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静电抗干扰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448"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文件结构（结构完整性、文件权限）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1189"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13.56MHz指令集（取随机数、取芯片序列号、选择命令、读写二进制文件、读写记录文件、外部认证、内部认证、更新密钥、上下电功率、出入口流程、发行流程）</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编码方式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6</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CPU用户卡</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组</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物理特性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化学特性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电特性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通讯协议</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基本功能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基本安全性能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稳定性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应用测试—文件结构</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应用测试—指令集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应用测试—交易流程</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卡的尺寸</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卡的构造</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卡的材质</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弯曲刚度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耐化学性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73"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温度、湿度条件下的尺寸稳定性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CPU卡物理层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CPU卡COS性能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CPU卡的返回信息</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CPU卡的用户可用容量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CPU卡兼容性测试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7</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工业以太网交换机</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对</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吞吐率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传输时延</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丢包率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发送光功率</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光接收灵敏度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8</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4G路由器</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接入功能测试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NTP时钟同步功能测试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DHCP Server功能测试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NAT功能测试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IPSec基本功能测试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44"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IPSec国密算法加密功能测试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路由器通用功能测试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65"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9</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防火墙或安全网关</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设备性能测试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安全策略</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安全防护测试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站点双链路冗余</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10</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工控机（含硬盘）</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配置要求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IP防护等级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硬盘规格型号</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11</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车辆分离光栅</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外观质量及尺寸</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最小分辨尺寸</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分离判断高度</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最大工作距离</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IP防护等级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12</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电动栏杆机</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外观质量及尺寸</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起落杆时间</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功能要求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机箱防护等级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材料要求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噪声</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13</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费额显示器</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台</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材料及外观要求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形状和尺寸要求</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功能特性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物理性能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通信接口与规程</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14</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票据打印机</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电气安全性能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IP防护等级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15</w:t>
            </w:r>
          </w:p>
        </w:tc>
        <w:tc>
          <w:tcPr>
            <w:tcW w:w="2420"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第三方支付扫码器</w:t>
            </w:r>
          </w:p>
        </w:tc>
        <w:tc>
          <w:tcPr>
            <w:tcW w:w="1134"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台</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外观质量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支付方式</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电压波动</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防护等级</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扫码范围</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环境适应性能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restart"/>
            <w:tcBorders>
              <w:tl2br w:val="nil"/>
              <w:tr2bl w:val="nil"/>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16</w:t>
            </w:r>
          </w:p>
        </w:tc>
        <w:tc>
          <w:tcPr>
            <w:tcW w:w="2420" w:type="dxa"/>
            <w:vMerge w:val="restart"/>
            <w:tcBorders>
              <w:tl2br w:val="nil"/>
              <w:tr2bl w:val="nil"/>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服务器</w:t>
            </w:r>
          </w:p>
        </w:tc>
        <w:tc>
          <w:tcPr>
            <w:tcW w:w="1134" w:type="dxa"/>
            <w:vMerge w:val="restart"/>
            <w:tcBorders>
              <w:tl2br w:val="nil"/>
              <w:tr2bl w:val="nil"/>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套</w:t>
            </w: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硬件</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硬件模块标示</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硬件监控模块状态显示</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处理器计算性能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内存带宽性能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硬盘IO性能</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电源冗余</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风扇冗余</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硬盘冗余</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restart"/>
            <w:tcBorders>
              <w:tl2br w:val="nil"/>
              <w:tr2bl w:val="nil"/>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17</w:t>
            </w:r>
          </w:p>
        </w:tc>
        <w:tc>
          <w:tcPr>
            <w:tcW w:w="2420" w:type="dxa"/>
            <w:vMerge w:val="restart"/>
            <w:tcBorders>
              <w:tl2br w:val="nil"/>
              <w:tr2bl w:val="nil"/>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防雷设备</w:t>
            </w:r>
          </w:p>
        </w:tc>
        <w:tc>
          <w:tcPr>
            <w:tcW w:w="1134" w:type="dxa"/>
            <w:vMerge w:val="restart"/>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压敏电压U1mA测试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泄漏电流测试</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电涌保护器（SDP）</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Ex>
        <w:trPr>
          <w:trHeight w:val="270" w:hRule="atLeast"/>
        </w:trPr>
        <w:tc>
          <w:tcPr>
            <w:tcW w:w="856"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2420"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1134" w:type="dxa"/>
            <w:vMerge w:val="continue"/>
            <w:tcBorders>
              <w:tl2br w:val="nil"/>
              <w:tr2bl w:val="nil"/>
            </w:tcBorders>
            <w:noWrap/>
            <w:tcMar>
              <w:top w:w="15" w:type="dxa"/>
              <w:left w:w="15" w:type="dxa"/>
              <w:right w:w="15" w:type="dxa"/>
            </w:tcMar>
            <w:vAlign w:val="center"/>
          </w:tcPr>
          <w:p>
            <w:pPr>
              <w:jc w:val="center"/>
              <w:rPr>
                <w:rFonts w:hint="eastAsia" w:ascii="仿宋" w:hAnsi="仿宋" w:eastAsia="仿宋" w:cs="仿宋"/>
                <w:color w:val="000000"/>
                <w:szCs w:val="21"/>
                <w:highlight w:val="none"/>
              </w:rPr>
            </w:pPr>
          </w:p>
        </w:tc>
        <w:tc>
          <w:tcPr>
            <w:tcW w:w="4394" w:type="dxa"/>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供配电、电力电气装置</w:t>
            </w:r>
          </w:p>
        </w:tc>
      </w:tr>
    </w:tbl>
    <w:p>
      <w:pPr>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注：测试过程中若有上表不适用或测试环境条件无法满足的参数，</w:t>
      </w:r>
      <w:r>
        <w:rPr>
          <w:rFonts w:hint="eastAsia" w:ascii="仿宋" w:hAnsi="仿宋" w:eastAsia="仿宋" w:cs="仿宋"/>
          <w:color w:val="000000"/>
          <w:sz w:val="18"/>
          <w:szCs w:val="18"/>
          <w:highlight w:val="none"/>
          <w:lang w:val="en-US" w:eastAsia="zh-CN"/>
        </w:rPr>
        <w:t>根据国家、行业相关规范、技术要求</w:t>
      </w:r>
      <w:r>
        <w:rPr>
          <w:rFonts w:hint="eastAsia" w:ascii="仿宋" w:hAnsi="仿宋" w:eastAsia="仿宋" w:cs="仿宋"/>
          <w:color w:val="000000"/>
          <w:sz w:val="18"/>
          <w:szCs w:val="18"/>
          <w:highlight w:val="none"/>
        </w:rPr>
        <w:t>确定后执行。</w:t>
      </w:r>
    </w:p>
    <w:p>
      <w:pPr>
        <w:pStyle w:val="2"/>
        <w:bidi w:val="0"/>
        <w:rPr>
          <w:rFonts w:hint="eastAsia" w:ascii="仿宋" w:hAnsi="仿宋" w:eastAsia="仿宋" w:cs="仿宋"/>
          <w:highlight w:val="none"/>
          <w:lang w:val="en-US" w:eastAsia="zh-CN"/>
        </w:rPr>
      </w:pPr>
      <w:bookmarkStart w:id="14" w:name="_Toc11606"/>
      <w:r>
        <w:rPr>
          <w:rFonts w:hint="eastAsia" w:ascii="仿宋" w:hAnsi="仿宋" w:eastAsia="仿宋" w:cs="仿宋"/>
          <w:highlight w:val="none"/>
          <w:lang w:val="en-US" w:eastAsia="zh-CN"/>
        </w:rPr>
        <w:t>4安全文明要求</w:t>
      </w:r>
      <w:bookmarkEnd w:id="14"/>
    </w:p>
    <w:p>
      <w:pPr>
        <w:pStyle w:val="3"/>
        <w:numPr>
          <w:ilvl w:val="1"/>
          <w:numId w:val="0"/>
        </w:numPr>
        <w:bidi w:val="0"/>
        <w:ind w:left="578" w:leftChars="0" w:hanging="578"/>
        <w:rPr>
          <w:rFonts w:hint="eastAsia" w:ascii="仿宋" w:hAnsi="仿宋" w:eastAsia="仿宋" w:cs="仿宋"/>
          <w:highlight w:val="none"/>
          <w:lang w:val="en-US" w:eastAsia="zh-CN"/>
        </w:rPr>
      </w:pPr>
      <w:bookmarkStart w:id="15" w:name="_Toc5489"/>
      <w:r>
        <w:rPr>
          <w:rFonts w:hint="eastAsia" w:ascii="仿宋" w:hAnsi="仿宋" w:eastAsia="仿宋" w:cs="仿宋"/>
          <w:highlight w:val="none"/>
          <w:lang w:val="en-US" w:eastAsia="zh-CN"/>
        </w:rPr>
        <w:t>4.1安全保障及保通相关要求</w:t>
      </w:r>
      <w:bookmarkEnd w:id="15"/>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为确保本次测试项目外场测试工作顺利进行，按照《中华人民共和国道路交通安全法实施条例》（中华人民共和国国务院令第405号）和《公路养护安全作业规程》（JTG H30-2015）和相关法律</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规范、规章制度</w:t>
      </w:r>
      <w:r>
        <w:rPr>
          <w:rFonts w:hint="eastAsia" w:ascii="仿宋" w:hAnsi="仿宋" w:eastAsia="仿宋" w:cs="仿宋"/>
          <w:b w:val="0"/>
          <w:bCs w:val="0"/>
          <w:sz w:val="28"/>
          <w:szCs w:val="28"/>
          <w:highlight w:val="none"/>
        </w:rPr>
        <w:t>的规定，本着“安全第一、预防为主，综合治理”的方针，结合测试工作的实际情况，对安全保障及保通工作、现场测试人员（含相关单位配合人员）的安全作业提出具体要求。</w:t>
      </w:r>
      <w:bookmarkStart w:id="16" w:name="_Toc366856831"/>
    </w:p>
    <w:bookmarkEnd w:id="16"/>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检测单位</w:t>
      </w:r>
      <w:r>
        <w:rPr>
          <w:rFonts w:hint="eastAsia" w:ascii="仿宋" w:hAnsi="仿宋" w:eastAsia="仿宋" w:cs="仿宋"/>
          <w:b w:val="0"/>
          <w:bCs w:val="0"/>
          <w:sz w:val="28"/>
          <w:szCs w:val="28"/>
          <w:highlight w:val="none"/>
        </w:rPr>
        <w:t>成立安全保通组，负责</w:t>
      </w:r>
      <w:r>
        <w:rPr>
          <w:rFonts w:hint="eastAsia" w:ascii="仿宋" w:hAnsi="仿宋" w:eastAsia="仿宋" w:cs="仿宋"/>
          <w:b w:val="0"/>
          <w:bCs w:val="0"/>
          <w:sz w:val="28"/>
          <w:szCs w:val="28"/>
          <w:highlight w:val="none"/>
          <w:lang w:val="en-US" w:eastAsia="zh-CN"/>
        </w:rPr>
        <w:t>统筹协调整个测试过程、</w:t>
      </w:r>
      <w:r>
        <w:rPr>
          <w:rFonts w:hint="eastAsia" w:ascii="仿宋" w:hAnsi="仿宋" w:eastAsia="仿宋" w:cs="仿宋"/>
          <w:b w:val="0"/>
          <w:bCs w:val="0"/>
          <w:sz w:val="28"/>
          <w:szCs w:val="28"/>
          <w:highlight w:val="none"/>
        </w:rPr>
        <w:t>现场测试安全保通</w:t>
      </w:r>
      <w:r>
        <w:rPr>
          <w:rFonts w:hint="eastAsia" w:ascii="仿宋" w:hAnsi="仿宋" w:eastAsia="仿宋" w:cs="仿宋"/>
          <w:b w:val="0"/>
          <w:bCs w:val="0"/>
          <w:sz w:val="28"/>
          <w:szCs w:val="28"/>
          <w:highlight w:val="none"/>
          <w:lang w:val="en-US" w:eastAsia="zh-CN"/>
        </w:rPr>
        <w:t>工作</w:t>
      </w:r>
      <w:r>
        <w:rPr>
          <w:rFonts w:hint="eastAsia" w:ascii="仿宋" w:hAnsi="仿宋" w:eastAsia="仿宋" w:cs="仿宋"/>
          <w:b w:val="0"/>
          <w:bCs w:val="0"/>
          <w:sz w:val="28"/>
          <w:szCs w:val="28"/>
          <w:highlight w:val="none"/>
        </w:rPr>
        <w:t>。</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对于通车路段实车测试，严格封闭测试道路区域，严禁与测试工作无关车辆进入测试作业控制区，保证测试人员安全。</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3</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参与测试的相关人员应各自配置好相应的安全防范措施、器具（如反光背心等）。</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参与现场验收测试的人员、车辆均应严格遵守《中华人民共和国道路交通安全法实施条例》、《公路养护安全作业规程》（JTG H30-2015）、《云南省公路建设与养护作业安全技术操作规程》和相关法律的规定。</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安全保通组人员统一指挥测试车辆的停放，严禁测试区域内出现车辆擅自掉头、倒车、逆行行为。</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测试过程中，测试道路旁边如有障碍，在保证安全的前提下及时清除，以免危及测试人员及车辆安全。</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7</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在测试区域内设安全人员，不间断查看现场情况，发现不规范的应及时纠正。</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8</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指定专人负责看管测试期间各测试车辆的夜间存放地点及安全。</w:t>
      </w:r>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9</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测试工作结束以后，安全保通人员负责清理现场，清除标志牌和锥筒，并指挥参与测试的相关车辆依次驾离工作现场。</w:t>
      </w:r>
      <w:bookmarkStart w:id="17" w:name="_Toc366856832"/>
    </w:p>
    <w:p>
      <w:pPr>
        <w:pStyle w:val="3"/>
        <w:numPr>
          <w:ilvl w:val="1"/>
          <w:numId w:val="0"/>
        </w:numPr>
        <w:bidi w:val="0"/>
        <w:ind w:leftChars="0"/>
        <w:rPr>
          <w:rFonts w:hint="eastAsia" w:ascii="仿宋" w:hAnsi="仿宋" w:eastAsia="仿宋" w:cs="仿宋"/>
          <w:highlight w:val="none"/>
        </w:rPr>
      </w:pPr>
      <w:bookmarkStart w:id="18" w:name="_Toc31356"/>
      <w:r>
        <w:rPr>
          <w:rFonts w:hint="eastAsia" w:ascii="仿宋" w:hAnsi="仿宋" w:eastAsia="仿宋" w:cs="仿宋"/>
          <w:highlight w:val="none"/>
          <w:lang w:val="en-US" w:eastAsia="zh-CN"/>
        </w:rPr>
        <w:t>4.2</w:t>
      </w:r>
      <w:r>
        <w:rPr>
          <w:rFonts w:hint="eastAsia" w:ascii="仿宋" w:hAnsi="仿宋" w:eastAsia="仿宋" w:cs="仿宋"/>
          <w:highlight w:val="none"/>
        </w:rPr>
        <w:t>现场测试安全作业要求</w:t>
      </w:r>
      <w:bookmarkEnd w:id="17"/>
      <w:bookmarkEnd w:id="18"/>
    </w:p>
    <w:p>
      <w:pPr>
        <w:pageBreakBefore w:val="0"/>
        <w:widowControl w:val="0"/>
        <w:numPr>
          <w:ilvl w:val="0"/>
          <w:numId w:val="0"/>
        </w:numPr>
        <w:tabs>
          <w:tab w:val="left" w:pos="36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参加本次测试项目的人员、车辆均严格遵守《中华人民共和国道路交通安全法实施条例》（中华人民共和国国务院令第405号）和《公路养护安全作业规程》（JTG H30-2004）和相关法律</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规范、规章制度</w:t>
      </w:r>
      <w:r>
        <w:rPr>
          <w:rFonts w:hint="eastAsia" w:ascii="仿宋" w:hAnsi="仿宋" w:eastAsia="仿宋" w:cs="仿宋"/>
          <w:b w:val="0"/>
          <w:bCs w:val="0"/>
          <w:sz w:val="28"/>
          <w:szCs w:val="28"/>
          <w:highlight w:val="none"/>
        </w:rPr>
        <w:t>的规定。</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参加测试的工作人员、车辆均应服从安全保通组人员的指挥、管理，遵守安全规定，认真做好本职岗位工作，确保测试工作的顺利进行。</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参加测试的所有人员工作期间必须身着安全警示服（反光背心），应作业环境要求佩戴安全帽。</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3</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各测试车辆到达被检点及路段时应先靠边停放，在测试作业控制区设置完毕，并确认安全的前提下，测试人员开始从车上卸下测试设备和测试工具，并按照相应的安全操作规程进行测试；在升高作业时，测试人员应系好安全带才能进行作业。</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现场测试人员严禁赤脚、穿高跟鞋、拖鞋、喇叭裤、裙子等进入测试现场。</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测试工作人员严禁在公路上嬉戏、打闹、乱丢杂物，上路工作期间严禁喝酒、醉酒。</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测试工作结束以后，各组工作人员必须清理现场的测试工具，清点人员。</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7</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所有参加质量测试的工作人员和车辆在工作期间严禁擅自单独行动。如因工作原因需暂时离开，应提前通知安全保通组相关人员。</w:t>
      </w:r>
      <w:bookmarkStart w:id="19" w:name="_Toc57378559"/>
    </w:p>
    <w:p>
      <w:pPr>
        <w:pStyle w:val="3"/>
        <w:numPr>
          <w:ilvl w:val="1"/>
          <w:numId w:val="0"/>
        </w:numPr>
        <w:bidi w:val="0"/>
        <w:ind w:leftChars="0"/>
        <w:rPr>
          <w:rFonts w:hint="eastAsia" w:ascii="仿宋" w:hAnsi="仿宋" w:eastAsia="仿宋" w:cs="仿宋"/>
          <w:highlight w:val="none"/>
        </w:rPr>
      </w:pPr>
      <w:bookmarkStart w:id="20" w:name="_Toc3321"/>
      <w:r>
        <w:rPr>
          <w:rFonts w:hint="eastAsia" w:ascii="仿宋" w:hAnsi="仿宋" w:eastAsia="仿宋" w:cs="仿宋"/>
          <w:highlight w:val="none"/>
          <w:lang w:val="en-US" w:eastAsia="zh-CN"/>
        </w:rPr>
        <w:t>4.3</w:t>
      </w:r>
      <w:r>
        <w:rPr>
          <w:rFonts w:hint="eastAsia" w:ascii="仿宋" w:hAnsi="仿宋" w:eastAsia="仿宋" w:cs="仿宋"/>
          <w:highlight w:val="none"/>
        </w:rPr>
        <w:t>文明保证措施</w:t>
      </w:r>
      <w:bookmarkEnd w:id="19"/>
      <w:bookmarkEnd w:id="20"/>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检测单位明确检测测试</w:t>
      </w:r>
      <w:r>
        <w:rPr>
          <w:rFonts w:hint="eastAsia" w:ascii="仿宋" w:hAnsi="仿宋" w:eastAsia="仿宋" w:cs="仿宋"/>
          <w:b w:val="0"/>
          <w:bCs w:val="0"/>
          <w:sz w:val="28"/>
          <w:szCs w:val="28"/>
          <w:highlight w:val="none"/>
        </w:rPr>
        <w:t>组，全面负责作业现场的作业施工，责、权、利相结合，责任到人，确保作业现场干净、整洁的工作环境。</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作业过程中，材料、成品、半成品和检测设备堆放按指定位置排列，做到整齐有序，并设置标签。</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3</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在作业现场周围设置警示标志，以告示其他人员注意安全。</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办公室内图表整齐，检测资料齐全。所有检测人员做到等级分明，戴证上岗，使分工情况一目了然。</w:t>
      </w:r>
    </w:p>
    <w:p>
      <w:pPr>
        <w:pageBreakBefore w:val="0"/>
        <w:widowControl w:val="0"/>
        <w:numPr>
          <w:ilvl w:val="0"/>
          <w:numId w:val="0"/>
        </w:numPr>
        <w:tabs>
          <w:tab w:val="left" w:pos="360"/>
          <w:tab w:val="left" w:pos="900"/>
        </w:tabs>
        <w:kinsoku/>
        <w:wordWrap/>
        <w:overflowPunct/>
        <w:topLinePunct w:val="0"/>
        <w:autoSpaceDE/>
        <w:autoSpaceDN/>
        <w:bidi w:val="0"/>
        <w:adjustRightInd w:val="0"/>
        <w:snapToGrid/>
        <w:spacing w:line="560" w:lineRule="exact"/>
        <w:ind w:left="0" w:firstLine="560" w:firstLineChars="200"/>
        <w:textAlignment w:val="baseline"/>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认真处理与配合人员关系。加强与配合人员沟通，做好宣传、互相理解、互相尊重、友好相处。</w:t>
      </w:r>
    </w:p>
    <w:p>
      <w:pPr>
        <w:pStyle w:val="3"/>
        <w:numPr>
          <w:ilvl w:val="1"/>
          <w:numId w:val="0"/>
        </w:numPr>
        <w:bidi w:val="0"/>
        <w:ind w:leftChars="0"/>
        <w:rPr>
          <w:rFonts w:hint="eastAsia" w:ascii="仿宋" w:hAnsi="仿宋" w:eastAsia="仿宋" w:cs="仿宋"/>
          <w:highlight w:val="none"/>
          <w:lang w:val="en-US" w:eastAsia="zh-CN"/>
        </w:rPr>
      </w:pPr>
      <w:bookmarkStart w:id="21" w:name="_Toc57378562"/>
      <w:bookmarkStart w:id="22" w:name="_Toc914"/>
      <w:r>
        <w:rPr>
          <w:rFonts w:hint="eastAsia" w:ascii="仿宋" w:hAnsi="仿宋" w:eastAsia="仿宋" w:cs="仿宋"/>
          <w:highlight w:val="none"/>
          <w:lang w:val="en-US" w:eastAsia="zh-CN"/>
        </w:rPr>
        <w:t>4.4应急处置预案</w:t>
      </w:r>
      <w:bookmarkEnd w:id="21"/>
      <w:bookmarkEnd w:id="22"/>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按照《生产经营单位生产安全事故应急预案编制导则》，经对公路工程现场检测作业过程中遇到的危险源进行辨识，主要有人的不安全行为，物的不安全状态，作业环境的不安全因素及管理制度、责任、执行问题等。检测作业过程中可能出现的安全事故主要有机械伤害、物体打击、触电、高处坠落、车辆伤害几类。</w:t>
      </w:r>
      <w:bookmarkStart w:id="23" w:name="_Toc41664302"/>
      <w:bookmarkStart w:id="24" w:name="_Toc49421026"/>
      <w:bookmarkStart w:id="25" w:name="_Toc51951413"/>
      <w:bookmarkStart w:id="26" w:name="_Toc51950242"/>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（1）高处坠落事故应急处置措施</w:t>
      </w:r>
      <w:bookmarkEnd w:id="23"/>
      <w:bookmarkEnd w:id="24"/>
      <w:bookmarkEnd w:id="25"/>
      <w:bookmarkEnd w:id="26"/>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诱因：现场检测涉及登高作业时，作业人员未按规定正确使用安全绳；</w:t>
      </w:r>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防范措施：加强职工遵章守纪教育，严格遵守安全操作规程，正确使用安全“三宝”及个体防护用品。</w:t>
      </w:r>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应急处置：</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1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①</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抢救受伤害者；</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2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②</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检查事故现场，消除隐患，疏散无关人员，防止事故后续发生；</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3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③</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设立警戒线，保护事故现场，若为抢救受伤害者需要移动现场某些物体时，必须作好现场标志；</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4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④</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立即报告。</w:t>
      </w:r>
      <w:bookmarkStart w:id="27" w:name="_Toc49421028"/>
      <w:bookmarkStart w:id="28" w:name="_Toc51951415"/>
      <w:bookmarkStart w:id="29" w:name="_Toc51950244"/>
      <w:bookmarkStart w:id="30" w:name="_Toc41664304"/>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（2）触电事故应急处置措施</w:t>
      </w:r>
      <w:bookmarkEnd w:id="27"/>
      <w:bookmarkEnd w:id="28"/>
      <w:bookmarkEnd w:id="29"/>
      <w:bookmarkEnd w:id="30"/>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诱因：</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1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①</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试验室检测人员操作不规范，安全意识差，在使用过程中随意损坏供电线路、开关、插针、插座等；</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2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②</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线路破损老化，违反规定架设；</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3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③</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漏电保护装置失灵。</w:t>
      </w:r>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防范措施：加强测试及配合人员的安全教育，提高安全意识和自我保护能力，爱护用电设施。</w:t>
      </w:r>
    </w:p>
    <w:p>
      <w:pPr>
        <w:pageBreakBefore w:val="0"/>
        <w:widowControl w:val="0"/>
        <w:kinsoku/>
        <w:wordWrap/>
        <w:overflowPunct/>
        <w:topLinePunct w:val="0"/>
        <w:autoSpaceDE/>
        <w:autoSpaceDN/>
        <w:bidi w:val="0"/>
        <w:snapToGrid/>
        <w:spacing w:line="560" w:lineRule="exact"/>
        <w:ind w:left="0" w:firstLine="560" w:firstLineChars="200"/>
        <w:rPr>
          <w:rFonts w:hint="eastAsia" w:ascii="仿宋" w:hAnsi="仿宋" w:eastAsia="仿宋" w:cs="仿宋"/>
          <w:b w:val="0"/>
          <w:bCs w:val="0"/>
          <w:color w:val="000000"/>
          <w:kern w:val="2"/>
          <w:sz w:val="28"/>
          <w:szCs w:val="28"/>
          <w:highlight w:val="none"/>
          <w:lang w:val="en-US" w:eastAsia="zh-CN" w:bidi="ar-SA"/>
        </w:rPr>
      </w:pPr>
      <w:r>
        <w:rPr>
          <w:rFonts w:hint="eastAsia" w:ascii="仿宋" w:hAnsi="仿宋" w:eastAsia="仿宋" w:cs="仿宋"/>
          <w:b w:val="0"/>
          <w:bCs w:val="0"/>
          <w:color w:val="000000"/>
          <w:kern w:val="2"/>
          <w:sz w:val="28"/>
          <w:szCs w:val="28"/>
          <w:highlight w:val="none"/>
          <w:lang w:val="en-US" w:eastAsia="zh-CN" w:bidi="ar-SA"/>
        </w:rPr>
        <w:t>应急处置：</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1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①</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切断电源，消除险情；</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2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②</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将触电者放在木板上实施应急施救或送医院抢救；</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3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③</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设立警戒线，保护事故现场（包括供电设施），移动现场物品时，必须作好现场标志；</w:t>
      </w:r>
      <w:r>
        <w:rPr>
          <w:rFonts w:hint="eastAsia" w:ascii="仿宋" w:hAnsi="仿宋" w:eastAsia="仿宋" w:cs="仿宋"/>
          <w:b w:val="0"/>
          <w:bCs w:val="0"/>
          <w:color w:val="000000"/>
          <w:kern w:val="2"/>
          <w:sz w:val="28"/>
          <w:szCs w:val="28"/>
          <w:highlight w:val="none"/>
          <w:lang w:val="en-US" w:eastAsia="zh-CN" w:bidi="ar-SA"/>
        </w:rPr>
        <w:fldChar w:fldCharType="begin"/>
      </w:r>
      <w:r>
        <w:rPr>
          <w:rFonts w:hint="eastAsia" w:ascii="仿宋" w:hAnsi="仿宋" w:eastAsia="仿宋" w:cs="仿宋"/>
          <w:b w:val="0"/>
          <w:bCs w:val="0"/>
          <w:color w:val="000000"/>
          <w:kern w:val="2"/>
          <w:sz w:val="28"/>
          <w:szCs w:val="28"/>
          <w:highlight w:val="none"/>
          <w:lang w:val="en-US" w:eastAsia="zh-CN" w:bidi="ar-SA"/>
        </w:rPr>
        <w:instrText xml:space="preserve"> = 4 \* GB3 \* MERGEFORMAT </w:instrText>
      </w:r>
      <w:r>
        <w:rPr>
          <w:rFonts w:hint="eastAsia" w:ascii="仿宋" w:hAnsi="仿宋" w:eastAsia="仿宋" w:cs="仿宋"/>
          <w:b w:val="0"/>
          <w:bCs w:val="0"/>
          <w:color w:val="000000"/>
          <w:kern w:val="2"/>
          <w:sz w:val="28"/>
          <w:szCs w:val="28"/>
          <w:highlight w:val="none"/>
          <w:lang w:val="en-US" w:eastAsia="zh-CN" w:bidi="ar-SA"/>
        </w:rPr>
        <w:fldChar w:fldCharType="separate"/>
      </w:r>
      <w:r>
        <w:rPr>
          <w:rFonts w:hint="eastAsia" w:ascii="仿宋" w:hAnsi="仿宋" w:eastAsia="仿宋" w:cs="仿宋"/>
          <w:b w:val="0"/>
          <w:bCs w:val="0"/>
          <w:color w:val="000000"/>
          <w:kern w:val="2"/>
          <w:sz w:val="28"/>
          <w:szCs w:val="28"/>
          <w:highlight w:val="none"/>
          <w:lang w:val="en-US" w:eastAsia="zh-CN" w:bidi="ar-SA"/>
        </w:rPr>
        <w:t>④</w:t>
      </w:r>
      <w:r>
        <w:rPr>
          <w:rFonts w:hint="eastAsia" w:ascii="仿宋" w:hAnsi="仿宋" w:eastAsia="仿宋" w:cs="仿宋"/>
          <w:b w:val="0"/>
          <w:bCs w:val="0"/>
          <w:color w:val="000000"/>
          <w:kern w:val="2"/>
          <w:sz w:val="28"/>
          <w:szCs w:val="28"/>
          <w:highlight w:val="none"/>
          <w:lang w:val="en-US" w:eastAsia="zh-CN" w:bidi="ar-SA"/>
        </w:rPr>
        <w:fldChar w:fldCharType="end"/>
      </w:r>
      <w:r>
        <w:rPr>
          <w:rFonts w:hint="eastAsia" w:ascii="仿宋" w:hAnsi="仿宋" w:eastAsia="仿宋" w:cs="仿宋"/>
          <w:b w:val="0"/>
          <w:bCs w:val="0"/>
          <w:color w:val="000000"/>
          <w:kern w:val="2"/>
          <w:sz w:val="28"/>
          <w:szCs w:val="28"/>
          <w:highlight w:val="none"/>
          <w:lang w:val="en-US" w:eastAsia="zh-CN" w:bidi="ar-SA"/>
        </w:rPr>
        <w:t>立即报告。</w:t>
      </w:r>
    </w:p>
    <w:p>
      <w:pPr>
        <w:pStyle w:val="3"/>
        <w:numPr>
          <w:ilvl w:val="1"/>
          <w:numId w:val="0"/>
        </w:numPr>
        <w:bidi w:val="0"/>
        <w:ind w:leftChars="0"/>
        <w:rPr>
          <w:rFonts w:hint="eastAsia" w:ascii="仿宋" w:hAnsi="仿宋" w:eastAsia="仿宋" w:cs="仿宋"/>
          <w:highlight w:val="none"/>
          <w:lang w:val="en-US" w:eastAsia="zh-CN"/>
        </w:rPr>
      </w:pPr>
      <w:bookmarkStart w:id="31" w:name="_Toc51950245"/>
      <w:bookmarkStart w:id="32" w:name="_Toc49421029"/>
      <w:bookmarkStart w:id="33" w:name="_Toc41664305"/>
      <w:bookmarkStart w:id="34" w:name="_Toc51951416"/>
      <w:bookmarkStart w:id="35" w:name="_Toc31945"/>
      <w:r>
        <w:rPr>
          <w:rFonts w:hint="eastAsia" w:ascii="仿宋" w:hAnsi="仿宋" w:eastAsia="仿宋" w:cs="仿宋"/>
          <w:highlight w:val="none"/>
          <w:lang w:val="en-US" w:eastAsia="zh-CN"/>
        </w:rPr>
        <w:t>4.5新型冠状病毒感染的肺炎疫情防控</w:t>
      </w:r>
      <w:bookmarkEnd w:id="31"/>
      <w:bookmarkEnd w:id="32"/>
      <w:bookmarkEnd w:id="33"/>
      <w:bookmarkEnd w:id="34"/>
      <w:r>
        <w:rPr>
          <w:rFonts w:hint="eastAsia" w:ascii="仿宋" w:hAnsi="仿宋" w:eastAsia="仿宋" w:cs="仿宋"/>
          <w:highlight w:val="none"/>
          <w:lang w:val="en-US" w:eastAsia="zh-CN"/>
        </w:rPr>
        <w:t>要求</w:t>
      </w:r>
      <w:bookmarkEnd w:id="35"/>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1、工作原则</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预防为主，信息通畅，快速反应，科学处置。</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2、落实健康监测</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检测单位现场负责人应实时掌握所属参测人员的健康状况，每天查看进入测试现场的参测人员健康码、测量体温，发现发热、呼吸道感染等异常人员，要及时向联网公司报告。</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3、预防准备</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（1）加强宣传教育</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开展测试前，组织检测人员、厂商配合人员，宣传防控新冠肺炎防控工作有关知识和相关部署要求；引导现场检测人员主动学习防疫知识，增强公共卫生意识和自我保护能力，培养良好的卫生习惯。</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（2）强化信息报告</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发现新冠肺炎病人或疑似病人及可疑情况时，均应及时向检测测试组报告，不得隐瞒、缓报、谎报或授意他人隐瞒、缓报、谎报。工作人员应自觉、如实、及时向检测测试组报告个人情况。</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（3）物资保障</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储备一定数量的消毒液、洗手液、口罩等，确保突发事件应急物资保障。</w:t>
      </w:r>
    </w:p>
    <w:p>
      <w:pPr>
        <w:pStyle w:val="2"/>
        <w:bidi w:val="0"/>
        <w:rPr>
          <w:rFonts w:hint="eastAsia" w:ascii="仿宋" w:hAnsi="仿宋" w:eastAsia="仿宋" w:cs="仿宋"/>
          <w:highlight w:val="none"/>
          <w:lang w:eastAsia="zh-CN"/>
        </w:rPr>
      </w:pPr>
      <w:bookmarkStart w:id="36" w:name="_Toc1171"/>
      <w:r>
        <w:rPr>
          <w:rFonts w:hint="eastAsia" w:ascii="仿宋" w:hAnsi="仿宋" w:eastAsia="仿宋" w:cs="仿宋"/>
          <w:highlight w:val="none"/>
          <w:lang w:val="en-US" w:eastAsia="zh-CN"/>
        </w:rPr>
        <w:t>5纪律要求</w:t>
      </w:r>
      <w:bookmarkEnd w:id="36"/>
    </w:p>
    <w:p>
      <w:pPr>
        <w:pStyle w:val="3"/>
        <w:numPr>
          <w:ilvl w:val="1"/>
          <w:numId w:val="0"/>
        </w:numPr>
        <w:bidi w:val="0"/>
        <w:ind w:leftChars="0"/>
        <w:rPr>
          <w:rFonts w:hint="eastAsia" w:ascii="仿宋" w:hAnsi="仿宋" w:eastAsia="仿宋" w:cs="仿宋"/>
          <w:highlight w:val="none"/>
          <w:lang w:val="en-US" w:eastAsia="zh-CN"/>
        </w:rPr>
      </w:pPr>
      <w:bookmarkStart w:id="37" w:name="_Toc13203"/>
      <w:r>
        <w:rPr>
          <w:rFonts w:hint="eastAsia" w:ascii="仿宋" w:hAnsi="仿宋" w:eastAsia="仿宋" w:cs="仿宋"/>
          <w:highlight w:val="none"/>
          <w:lang w:val="en-US" w:eastAsia="zh-CN"/>
        </w:rPr>
        <w:t>5.1测试组织和检测单位</w:t>
      </w:r>
      <w:bookmarkEnd w:id="37"/>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在本次测试过程中，联网公司测试人员、检测单位参测人员应遵守以下规定：</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（1）不得以任何形式向参测厂商及各方索要和收受回扣等好处费。</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（2）应当保持与被测试方的正常业务交往，不得接受其礼金、有价证券和物品，不得在其单位报销任何应由个人支付的费用。</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（3）不得参加可能对公正执行检测有影响的宴请和娱乐活动。</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（4）不得要求或接受被测试方为其住房装修、婚丧嫁娶、家属和子女的工作安排、旅游以及出国等提供方便。</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（5）不得向被测试方介绍家属或亲友从事与其工作有关的经济活动。</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测试过程中，出现上述（包含但不限于）不廉洁行为经相关部门查处的，从重处罚。</w:t>
      </w:r>
    </w:p>
    <w:p>
      <w:pPr>
        <w:pStyle w:val="3"/>
        <w:numPr>
          <w:ilvl w:val="1"/>
          <w:numId w:val="0"/>
        </w:numPr>
        <w:bidi w:val="0"/>
        <w:ind w:leftChars="0"/>
        <w:rPr>
          <w:rFonts w:hint="eastAsia" w:ascii="仿宋" w:hAnsi="仿宋" w:eastAsia="仿宋" w:cs="仿宋"/>
          <w:highlight w:val="none"/>
          <w:lang w:val="en-US" w:eastAsia="zh-CN"/>
        </w:rPr>
      </w:pPr>
      <w:bookmarkStart w:id="38" w:name="_Toc12647"/>
      <w:r>
        <w:rPr>
          <w:rFonts w:hint="eastAsia" w:ascii="仿宋" w:hAnsi="仿宋" w:eastAsia="仿宋" w:cs="仿宋"/>
          <w:highlight w:val="none"/>
          <w:lang w:val="en-US" w:eastAsia="zh-CN"/>
        </w:rPr>
        <w:t>5.2参测厂商</w:t>
      </w:r>
      <w:bookmarkEnd w:id="38"/>
    </w:p>
    <w:p>
      <w:pPr>
        <w:keepNext w:val="0"/>
        <w:keepLines w:val="0"/>
        <w:pageBreakBefore w:val="0"/>
        <w:widowControl w:val="0"/>
        <w:kinsoku/>
        <w:wordWrap/>
        <w:overflowPunct/>
        <w:topLinePunct w:val="0"/>
        <w:autoSpaceDE/>
        <w:autoSpaceDN/>
        <w:bidi w:val="0"/>
        <w:adjustRightInd/>
        <w:snapToGrid/>
        <w:spacing w:line="560" w:lineRule="exact"/>
        <w:ind w:left="0" w:firstLine="560"/>
        <w:jc w:val="left"/>
        <w:textAlignment w:val="auto"/>
        <w:rPr>
          <w:rFonts w:hint="eastAsia" w:ascii="仿宋" w:hAnsi="仿宋" w:eastAsia="仿宋" w:cs="仿宋"/>
          <w:color w:val="000000"/>
          <w:sz w:val="28"/>
          <w:szCs w:val="28"/>
          <w:highlight w:val="none"/>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cs="仿宋"/>
          <w:sz w:val="30"/>
          <w:szCs w:val="30"/>
          <w:highlight w:val="none"/>
          <w:lang w:val="en-US" w:eastAsia="zh-CN"/>
        </w:rPr>
        <w:t>参测厂商在测试过程中如有违规、干扰测试运行或提供虚假材料等行为，联网公司有权取消该厂商的测试资格,并上报省交通行业主管部门，对其在云南省交通行业进行失信联合惩戒</w:t>
      </w:r>
      <w:r>
        <w:rPr>
          <w:rFonts w:hint="eastAsia" w:ascii="仿宋" w:hAnsi="仿宋" w:eastAsia="仿宋" w:cs="仿宋"/>
          <w:color w:val="000000"/>
          <w:sz w:val="28"/>
          <w:szCs w:val="28"/>
          <w:highlight w:val="none"/>
          <w:lang w:val="en-US" w:eastAsia="zh-CN"/>
        </w:rPr>
        <w:t>。</w:t>
      </w:r>
    </w:p>
    <w:p>
      <w:pPr>
        <w:pStyle w:val="2"/>
        <w:bidi w:val="0"/>
        <w:rPr>
          <w:rFonts w:hint="eastAsia" w:ascii="仿宋" w:hAnsi="仿宋" w:eastAsia="仿宋" w:cs="仿宋"/>
          <w:highlight w:val="none"/>
          <w:lang w:val="en-US" w:eastAsia="zh-CN"/>
        </w:rPr>
      </w:pPr>
      <w:bookmarkStart w:id="39" w:name="_Toc15777"/>
      <w:r>
        <w:rPr>
          <w:rFonts w:hint="eastAsia" w:ascii="仿宋" w:hAnsi="仿宋" w:eastAsia="仿宋" w:cs="仿宋"/>
          <w:highlight w:val="none"/>
          <w:lang w:val="en-US" w:eastAsia="zh-CN"/>
        </w:rPr>
        <w:t>附件1</w:t>
      </w:r>
      <w:bookmarkEnd w:id="39"/>
    </w:p>
    <w:p>
      <w:pPr>
        <w:jc w:val="center"/>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参加测试申请书</w:t>
      </w:r>
    </w:p>
    <w:p>
      <w:pPr>
        <w:jc w:val="center"/>
        <w:rPr>
          <w:rFonts w:hint="eastAsia" w:ascii="仿宋" w:hAnsi="仿宋" w:eastAsia="仿宋" w:cs="仿宋"/>
          <w:b/>
          <w:bCs/>
          <w:color w:val="000000"/>
          <w:sz w:val="32"/>
          <w:szCs w:val="32"/>
          <w:highlight w:val="none"/>
        </w:rPr>
      </w:pPr>
    </w:p>
    <w:p>
      <w:pP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云南公路联网收费管理有限公司</w:t>
      </w:r>
      <w:r>
        <w:rPr>
          <w:rFonts w:hint="eastAsia" w:ascii="仿宋" w:hAnsi="仿宋" w:eastAsia="仿宋" w:cs="仿宋"/>
          <w:color w:val="000000"/>
          <w:sz w:val="28"/>
          <w:szCs w:val="28"/>
          <w:highlight w:val="none"/>
        </w:rPr>
        <w:t>：</w:t>
      </w:r>
    </w:p>
    <w:p>
      <w:pPr>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按照《关于组织开展云南省公路收费系统关键设备入网检测及联调测试的通知》的要求，我方愿意参加测试，并</w:t>
      </w:r>
      <w:r>
        <w:rPr>
          <w:rFonts w:hint="eastAsia" w:ascii="仿宋" w:hAnsi="仿宋" w:eastAsia="仿宋" w:cs="仿宋"/>
          <w:color w:val="000000"/>
          <w:sz w:val="28"/>
          <w:szCs w:val="28"/>
          <w:highlight w:val="none"/>
          <w:lang w:val="en-US" w:eastAsia="zh-CN"/>
        </w:rPr>
        <w:t>按要求</w:t>
      </w:r>
      <w:r>
        <w:rPr>
          <w:rFonts w:hint="eastAsia" w:ascii="仿宋" w:hAnsi="仿宋" w:eastAsia="仿宋" w:cs="仿宋"/>
          <w:color w:val="000000"/>
          <w:sz w:val="28"/>
          <w:szCs w:val="28"/>
          <w:highlight w:val="none"/>
        </w:rPr>
        <w:t>提交相关资料文件</w:t>
      </w:r>
      <w:r>
        <w:rPr>
          <w:rFonts w:hint="eastAsia" w:ascii="仿宋" w:hAnsi="仿宋" w:eastAsia="仿宋" w:cs="仿宋"/>
          <w:color w:val="000000"/>
          <w:sz w:val="28"/>
          <w:szCs w:val="28"/>
          <w:highlight w:val="none"/>
          <w:lang w:val="en-US" w:eastAsia="zh-CN"/>
        </w:rPr>
        <w:t>报名</w:t>
      </w:r>
      <w:r>
        <w:rPr>
          <w:rFonts w:hint="eastAsia" w:ascii="仿宋" w:hAnsi="仿宋" w:eastAsia="仿宋" w:cs="仿宋"/>
          <w:color w:val="000000"/>
          <w:sz w:val="28"/>
          <w:szCs w:val="28"/>
          <w:highlight w:val="none"/>
        </w:rPr>
        <w:t>，用于贵方审查我方是否满足参加本期测试的资格。</w:t>
      </w:r>
    </w:p>
    <w:p>
      <w:pPr>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我公司的法定代表人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代表我公司授权</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为正式的合法代理人，并授权该代理人在此次测试中代表我公司签署</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lang w:val="en-US" w:eastAsia="zh-CN"/>
        </w:rPr>
        <w:t>签收</w:t>
      </w:r>
      <w:r>
        <w:rPr>
          <w:rFonts w:hint="eastAsia" w:ascii="仿宋" w:hAnsi="仿宋" w:eastAsia="仿宋" w:cs="仿宋"/>
          <w:color w:val="000000"/>
          <w:sz w:val="28"/>
          <w:szCs w:val="28"/>
          <w:highlight w:val="none"/>
        </w:rPr>
        <w:t>相关文件并处理与此有关的一切事务。</w:t>
      </w:r>
    </w:p>
    <w:p>
      <w:pPr>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我们在此声明，此次递交的申请书及相关资料文件内容完整、真实、准确，如与事实不符，贵方有权取消我们的测试资格。 </w:t>
      </w:r>
    </w:p>
    <w:p>
      <w:pPr>
        <w:ind w:firstLine="560" w:firstLineChars="200"/>
        <w:rPr>
          <w:rFonts w:hint="eastAsia" w:ascii="仿宋" w:hAnsi="仿宋" w:eastAsia="仿宋" w:cs="仿宋"/>
          <w:color w:val="000000"/>
          <w:sz w:val="28"/>
          <w:szCs w:val="28"/>
          <w:highlight w:val="none"/>
        </w:rPr>
      </w:pPr>
    </w:p>
    <w:p>
      <w:pPr>
        <w:ind w:firstLine="42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申请人名称（公章）：                       </w:t>
      </w:r>
    </w:p>
    <w:p>
      <w:pPr>
        <w:ind w:firstLine="42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申请人</w:t>
      </w:r>
      <w:r>
        <w:rPr>
          <w:rFonts w:hint="eastAsia" w:ascii="仿宋" w:hAnsi="仿宋" w:eastAsia="仿宋" w:cs="仿宋"/>
          <w:color w:val="000000"/>
          <w:sz w:val="28"/>
          <w:szCs w:val="28"/>
          <w:highlight w:val="none"/>
          <w:lang w:val="en-US" w:eastAsia="zh-CN"/>
        </w:rPr>
        <w:t>联系</w:t>
      </w:r>
      <w:r>
        <w:rPr>
          <w:rFonts w:hint="eastAsia" w:ascii="仿宋" w:hAnsi="仿宋" w:eastAsia="仿宋" w:cs="仿宋"/>
          <w:color w:val="000000"/>
          <w:sz w:val="28"/>
          <w:szCs w:val="28"/>
          <w:highlight w:val="none"/>
        </w:rPr>
        <w:t>地址：</w:t>
      </w:r>
    </w:p>
    <w:p>
      <w:pPr>
        <w:ind w:firstLine="42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申请人</w:t>
      </w:r>
      <w:r>
        <w:rPr>
          <w:rFonts w:hint="eastAsia" w:ascii="仿宋" w:hAnsi="仿宋" w:eastAsia="仿宋" w:cs="仿宋"/>
          <w:color w:val="000000"/>
          <w:sz w:val="28"/>
          <w:szCs w:val="28"/>
          <w:highlight w:val="none"/>
          <w:lang w:val="en-US" w:eastAsia="zh-CN"/>
        </w:rPr>
        <w:t>联系</w:t>
      </w:r>
      <w:r>
        <w:rPr>
          <w:rFonts w:hint="eastAsia" w:ascii="仿宋" w:hAnsi="仿宋" w:eastAsia="仿宋" w:cs="仿宋"/>
          <w:color w:val="000000"/>
          <w:sz w:val="28"/>
          <w:szCs w:val="28"/>
          <w:highlight w:val="none"/>
        </w:rPr>
        <w:t>电话：</w:t>
      </w:r>
    </w:p>
    <w:p>
      <w:pPr>
        <w:ind w:firstLine="42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申请人法定代表人签字：</w:t>
      </w:r>
    </w:p>
    <w:p>
      <w:pPr>
        <w:ind w:firstLine="42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申请人授权代理人签字：</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rPr>
          <w:rFonts w:hint="eastAsia" w:ascii="仿宋" w:hAnsi="仿宋" w:eastAsia="仿宋" w:cs="仿宋"/>
          <w:b/>
          <w:bCs/>
          <w:sz w:val="30"/>
          <w:szCs w:val="30"/>
          <w:highlight w:val="none"/>
          <w:lang w:val="en-US" w:eastAsia="zh-CN"/>
        </w:rPr>
      </w:pPr>
      <w:bookmarkStart w:id="40" w:name="_Toc21827"/>
      <w:r>
        <w:rPr>
          <w:rFonts w:hint="eastAsia" w:ascii="仿宋" w:hAnsi="仿宋" w:eastAsia="仿宋" w:cs="仿宋"/>
          <w:b/>
          <w:bCs/>
          <w:sz w:val="30"/>
          <w:szCs w:val="30"/>
          <w:highlight w:val="none"/>
          <w:lang w:val="en-US" w:eastAsia="zh-CN"/>
        </w:rPr>
        <w:t>附件2：</w:t>
      </w: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入网检测及联调测试设备信息表</w:t>
      </w:r>
      <w:bookmarkEnd w:id="40"/>
    </w:p>
    <w:p>
      <w:pPr>
        <w:widowControl/>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lang w:val="en-US" w:eastAsia="zh-CN"/>
        </w:rPr>
        <w:t>2-1</w:t>
      </w:r>
      <w:bookmarkStart w:id="41" w:name="_Hlk14275883"/>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（ETC门架系统RSU</w:t>
      </w:r>
      <w:r>
        <w:rPr>
          <w:rFonts w:hint="eastAsia" w:ascii="仿宋" w:hAnsi="仿宋" w:eastAsia="仿宋" w:cs="仿宋"/>
          <w:b/>
          <w:color w:val="000000"/>
          <w:sz w:val="32"/>
          <w:szCs w:val="32"/>
          <w:highlight w:val="none"/>
          <w:lang w:val="en-US" w:eastAsia="zh-CN"/>
        </w:rPr>
        <w:t>/ETC车道</w:t>
      </w:r>
      <w:r>
        <w:rPr>
          <w:rFonts w:hint="eastAsia" w:ascii="仿宋" w:hAnsi="仿宋" w:eastAsia="仿宋" w:cs="仿宋"/>
          <w:b/>
          <w:color w:val="000000"/>
          <w:sz w:val="32"/>
          <w:szCs w:val="32"/>
          <w:highlight w:val="none"/>
        </w:rPr>
        <w:t>RSU）</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RSU（设备型号）：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通讯方式（串口/网口）：</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唤醒信号：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（2）射频芯片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lang w:val="en-US" w:eastAsia="zh-CN"/>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jc w:val="left"/>
        <w:rPr>
          <w:rFonts w:hint="eastAsia" w:ascii="仿宋" w:hAnsi="仿宋" w:eastAsia="仿宋" w:cs="仿宋"/>
          <w:b/>
          <w:color w:val="000000"/>
          <w:kern w:val="0"/>
          <w:sz w:val="44"/>
          <w:szCs w:val="44"/>
          <w:highlight w:val="none"/>
          <w:lang w:bidi="ar"/>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-2</w:t>
      </w:r>
    </w:p>
    <w:p>
      <w:pPr>
        <w:widowControl/>
        <w:jc w:val="left"/>
        <w:rPr>
          <w:rFonts w:hint="eastAsia" w:ascii="仿宋" w:hAnsi="仿宋" w:eastAsia="仿宋" w:cs="仿宋"/>
          <w:b/>
          <w:color w:val="000000"/>
          <w:kern w:val="0"/>
          <w:sz w:val="44"/>
          <w:szCs w:val="44"/>
          <w:highlight w:val="none"/>
          <w:lang w:bidi="ar"/>
        </w:rPr>
      </w:pP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（高清车牌识别设备）</w:t>
      </w:r>
    </w:p>
    <w:p>
      <w:pPr>
        <w:adjustRightInd w:val="0"/>
        <w:snapToGrid w:val="0"/>
        <w:jc w:val="center"/>
        <w:rPr>
          <w:rFonts w:hint="eastAsia" w:ascii="仿宋" w:hAnsi="仿宋" w:eastAsia="仿宋" w:cs="仿宋"/>
          <w:b/>
          <w:color w:val="000000"/>
          <w:sz w:val="28"/>
          <w:highlight w:val="none"/>
        </w:rPr>
      </w:pPr>
    </w:p>
    <w:p>
      <w:pPr>
        <w:jc w:val="center"/>
        <w:rPr>
          <w:rFonts w:hint="eastAsia" w:ascii="仿宋" w:hAnsi="仿宋" w:eastAsia="仿宋" w:cs="仿宋"/>
          <w:b/>
          <w:bCs/>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本次提交的高清车牌识别设备信息如下：</w:t>
      </w:r>
    </w:p>
    <w:p>
      <w:pPr>
        <w:widowControl/>
        <w:jc w:val="left"/>
        <w:rPr>
          <w:rFonts w:hint="eastAsia" w:ascii="仿宋" w:hAnsi="仿宋" w:eastAsia="仿宋" w:cs="仿宋"/>
          <w:sz w:val="28"/>
          <w:szCs w:val="28"/>
          <w:highlight w:val="none"/>
        </w:rPr>
      </w:pPr>
    </w:p>
    <w:p>
      <w:pPr>
        <w:widowControl/>
        <w:spacing w:line="360" w:lineRule="auto"/>
        <w:ind w:firstLine="560" w:firstLineChars="200"/>
        <w:jc w:val="left"/>
        <w:rPr>
          <w:rFonts w:hint="eastAsia" w:ascii="仿宋" w:hAnsi="仿宋" w:eastAsia="仿宋" w:cs="仿宋"/>
          <w:sz w:val="28"/>
          <w:szCs w:val="28"/>
          <w:highlight w:val="none"/>
          <w:u w:val="thick"/>
        </w:rPr>
      </w:pPr>
      <w:r>
        <w:rPr>
          <w:rFonts w:hint="eastAsia" w:ascii="仿宋" w:hAnsi="仿宋" w:eastAsia="仿宋" w:cs="仿宋"/>
          <w:color w:val="000000"/>
          <w:sz w:val="28"/>
          <w:szCs w:val="28"/>
          <w:highlight w:val="none"/>
        </w:rPr>
        <w:t>设备品牌：</w:t>
      </w:r>
      <w:r>
        <w:rPr>
          <w:rFonts w:hint="eastAsia" w:ascii="仿宋" w:hAnsi="仿宋" w:eastAsia="仿宋" w:cs="仿宋"/>
          <w:color w:val="000000"/>
          <w:kern w:val="0"/>
          <w:sz w:val="28"/>
          <w:szCs w:val="28"/>
          <w:highlight w:val="none"/>
          <w:u w:val="single"/>
          <w:lang w:bidi="ar"/>
        </w:rPr>
        <w:t xml:space="preserve">              </w:t>
      </w:r>
      <w:r>
        <w:rPr>
          <w:rFonts w:hint="eastAsia" w:ascii="仿宋" w:hAnsi="仿宋" w:eastAsia="仿宋" w:cs="仿宋"/>
          <w:color w:val="000000"/>
          <w:kern w:val="0"/>
          <w:sz w:val="28"/>
          <w:szCs w:val="28"/>
          <w:highlight w:val="none"/>
          <w:lang w:bidi="ar"/>
        </w:rPr>
        <w:t xml:space="preserve">   </w:t>
      </w:r>
      <w:r>
        <w:rPr>
          <w:rFonts w:hint="eastAsia" w:ascii="仿宋" w:hAnsi="仿宋" w:eastAsia="仿宋" w:cs="仿宋"/>
          <w:color w:val="000000"/>
          <w:sz w:val="28"/>
          <w:szCs w:val="28"/>
          <w:highlight w:val="none"/>
        </w:rPr>
        <w:t>型号：</w:t>
      </w:r>
      <w:r>
        <w:rPr>
          <w:rFonts w:hint="eastAsia" w:ascii="仿宋" w:hAnsi="仿宋" w:eastAsia="仿宋" w:cs="仿宋"/>
          <w:color w:val="000000"/>
          <w:sz w:val="28"/>
          <w:szCs w:val="28"/>
          <w:highlight w:val="none"/>
          <w:u w:val="single"/>
          <w:lang w:bidi="ar"/>
        </w:rPr>
        <w:t xml:space="preserve">                    </w:t>
      </w:r>
    </w:p>
    <w:p>
      <w:pPr>
        <w:pStyle w:val="9"/>
        <w:shd w:val="clear" w:color="auto" w:fill="FFFFFF"/>
        <w:adjustRightInd w:val="0"/>
        <w:snapToGrid w:val="0"/>
        <w:spacing w:before="0" w:beforeAutospacing="0" w:after="0" w:afterAutospacing="0" w:line="360" w:lineRule="auto"/>
        <w:ind w:firstLine="560" w:firstLineChars="200"/>
        <w:rPr>
          <w:rFonts w:hint="eastAsia" w:ascii="仿宋" w:hAnsi="仿宋" w:eastAsia="仿宋" w:cs="仿宋"/>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sz w:val="28"/>
          <w:szCs w:val="28"/>
          <w:highlight w:val="none"/>
          <w:u w:val="single"/>
          <w:lang w:bidi="ar"/>
        </w:rPr>
        <w:t xml:space="preserve">                                          </w:t>
      </w:r>
    </w:p>
    <w:p>
      <w:pPr>
        <w:pStyle w:val="9"/>
        <w:shd w:val="clear" w:color="auto" w:fill="FFFFFF"/>
        <w:adjustRightInd w:val="0"/>
        <w:snapToGrid w:val="0"/>
        <w:spacing w:before="0" w:beforeAutospacing="0" w:after="0" w:afterAutospacing="0" w:line="36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sz w:val="28"/>
          <w:szCs w:val="28"/>
          <w:highlight w:val="none"/>
          <w:u w:val="single"/>
          <w:lang w:bidi="ar"/>
        </w:rPr>
        <w:t xml:space="preserve">                                          </w:t>
      </w:r>
    </w:p>
    <w:p>
      <w:pPr>
        <w:pStyle w:val="9"/>
        <w:shd w:val="clear" w:color="auto" w:fill="FFFFFF"/>
        <w:adjustRightInd w:val="0"/>
        <w:snapToGrid w:val="0"/>
        <w:spacing w:before="0" w:beforeAutospacing="0" w:after="0" w:afterAutospacing="0" w:line="36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像素：</w:t>
      </w:r>
      <w:r>
        <w:rPr>
          <w:rFonts w:hint="eastAsia" w:ascii="仿宋" w:hAnsi="仿宋" w:eastAsia="仿宋" w:cs="仿宋"/>
          <w:color w:val="000000"/>
          <w:sz w:val="28"/>
          <w:szCs w:val="28"/>
          <w:highlight w:val="none"/>
          <w:u w:val="single"/>
          <w:lang w:bidi="ar"/>
        </w:rPr>
        <w:t xml:space="preserve">                                             </w:t>
      </w:r>
    </w:p>
    <w:p>
      <w:pPr>
        <w:widowControl/>
        <w:jc w:val="left"/>
        <w:rPr>
          <w:rFonts w:hint="eastAsia" w:ascii="仿宋" w:hAnsi="仿宋" w:eastAsia="仿宋" w:cs="仿宋"/>
          <w:color w:val="000000"/>
          <w:kern w:val="0"/>
          <w:sz w:val="28"/>
          <w:szCs w:val="28"/>
          <w:highlight w:val="none"/>
          <w:lang w:bidi="ar"/>
        </w:rPr>
      </w:pPr>
    </w:p>
    <w:p>
      <w:pPr>
        <w:widowControl/>
        <w:jc w:val="left"/>
        <w:rPr>
          <w:rFonts w:hint="eastAsia" w:ascii="仿宋" w:hAnsi="仿宋" w:eastAsia="仿宋" w:cs="仿宋"/>
          <w:color w:val="000000"/>
          <w:kern w:val="0"/>
          <w:sz w:val="28"/>
          <w:szCs w:val="28"/>
          <w:highlight w:val="none"/>
          <w:lang w:bidi="ar"/>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widowControl/>
        <w:jc w:val="left"/>
        <w:rPr>
          <w:rFonts w:hint="eastAsia" w:ascii="仿宋" w:hAnsi="仿宋" w:eastAsia="仿宋" w:cs="仿宋"/>
          <w:color w:val="000000"/>
          <w:kern w:val="0"/>
          <w:sz w:val="28"/>
          <w:szCs w:val="28"/>
          <w:highlight w:val="none"/>
          <w:lang w:bidi="ar"/>
        </w:rPr>
      </w:pPr>
    </w:p>
    <w:p>
      <w:pPr>
        <w:pStyle w:val="9"/>
        <w:shd w:val="clear" w:color="auto" w:fill="FFFFFF"/>
        <w:wordWrap w:val="0"/>
        <w:adjustRightInd w:val="0"/>
        <w:snapToGrid w:val="0"/>
        <w:spacing w:before="0" w:beforeAutospacing="0" w:after="0" w:afterAutospacing="0" w:line="300" w:lineRule="auto"/>
        <w:ind w:firstLine="560" w:firstLineChars="200"/>
        <w:jc w:val="right"/>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 xml:space="preserve">公司名称（盖章）：            </w:t>
      </w:r>
    </w:p>
    <w:p>
      <w:pPr>
        <w:pStyle w:val="9"/>
        <w:shd w:val="clear" w:color="auto" w:fill="FFFFFF"/>
        <w:wordWrap w:val="0"/>
        <w:adjustRightInd w:val="0"/>
        <w:snapToGrid w:val="0"/>
        <w:spacing w:before="0" w:beforeAutospacing="0" w:after="0" w:afterAutospacing="0" w:line="300" w:lineRule="auto"/>
        <w:ind w:firstLine="560" w:firstLineChars="200"/>
        <w:jc w:val="right"/>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 xml:space="preserve">年    月   日             </w:t>
      </w:r>
    </w:p>
    <w:p>
      <w:pPr>
        <w:widowControl/>
        <w:jc w:val="left"/>
        <w:rPr>
          <w:rFonts w:hint="eastAsia" w:ascii="仿宋" w:hAnsi="仿宋" w:eastAsia="仿宋" w:cs="仿宋"/>
          <w:color w:val="000000"/>
          <w:kern w:val="0"/>
          <w:sz w:val="24"/>
          <w:highlight w:val="none"/>
          <w:lang w:bidi="ar"/>
        </w:rPr>
      </w:pPr>
    </w:p>
    <w:p>
      <w:pPr>
        <w:widowControl/>
        <w:jc w:val="left"/>
        <w:rPr>
          <w:rFonts w:hint="eastAsia" w:ascii="仿宋" w:hAnsi="仿宋" w:eastAsia="仿宋" w:cs="仿宋"/>
          <w:color w:val="000000"/>
          <w:kern w:val="0"/>
          <w:sz w:val="24"/>
          <w:highlight w:val="none"/>
          <w:lang w:bidi="ar"/>
        </w:rPr>
      </w:pPr>
    </w:p>
    <w:p>
      <w:pPr>
        <w:widowControl/>
        <w:jc w:val="left"/>
        <w:rPr>
          <w:rFonts w:hint="eastAsia" w:ascii="仿宋" w:hAnsi="仿宋" w:eastAsia="仿宋" w:cs="仿宋"/>
          <w:color w:val="000000"/>
          <w:kern w:val="0"/>
          <w:sz w:val="24"/>
          <w:highlight w:val="none"/>
          <w:lang w:bidi="ar"/>
        </w:rPr>
      </w:pP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-3</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（4G路由器）</w:t>
      </w: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工业以太网交换机（设备型号）：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接口配置：</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设备性能：</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设备功能（如SDN，路由，可扩展模块等）：</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（2）缓存芯片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（3）天线</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-4</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（工业以太网交换机）</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工业以太网交换机（设备型号）：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接口配置：</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设备性能：</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设备功能（如SDN，路由等）：</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（2）缓存芯片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w:t>
      </w:r>
      <w:r>
        <w:rPr>
          <w:rFonts w:hint="eastAsia" w:ascii="仿宋" w:hAnsi="仿宋" w:eastAsia="仿宋" w:cs="仿宋"/>
          <w:sz w:val="28"/>
          <w:szCs w:val="28"/>
          <w:highlight w:val="none"/>
          <w:lang w:val="en-US" w:eastAsia="zh-CN"/>
        </w:rPr>
        <w:t>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-5</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（防火墙）</w:t>
      </w: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防火墙（设备型号）：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硬件架构：</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接口配置：</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设备性能：</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通讯方式（串口/网口）：</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（2）缓存芯片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-6</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（工控机）</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工控机（设备型号）：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CPU：</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硬盘：</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内存：</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扩展槽：</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通讯接口描述（包括但不网口、串口、VGA、USB口的要求）：</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电源（包括但不限于功率，电流，电压）：</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-7</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（服务器）</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服务器（设备型号）：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CPU：</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硬盘：</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内存：</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扩展槽：</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通讯接口描述（包括但不网口、串口、VGA、USB口的要求）：</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电源（包括但不限于功率，电流，电压）：</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-8</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（车辆分离光栅）</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车辆分离光栅（设备型号）：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通讯方式（串口/网口）：</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信号输出方式：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最小分辨尺寸：</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最大工作距离：</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-9</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（电动栏杆机）</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电动栏杆机（设备型号）：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抬落杆时间：</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使用电机型号：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通讯方式（串口/网口/电压）：</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防砸功能的实现方式：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防撞功能的实现方式：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（2）继电器</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-10</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（费额显示器）</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费额显示器（设备型号）：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通讯方式（串口/网口）：</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供电电源：</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（1）主控MCU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（2）通信芯片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（3）显示屏幕（LED）</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-11</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（票据打印机）</w:t>
      </w:r>
    </w:p>
    <w:p>
      <w:pPr>
        <w:adjustRightInd w:val="0"/>
        <w:snapToGrid w:val="0"/>
        <w:jc w:val="center"/>
        <w:rPr>
          <w:rFonts w:hint="eastAsia" w:ascii="仿宋" w:hAnsi="仿宋" w:eastAsia="仿宋" w:cs="仿宋"/>
          <w:b/>
          <w:color w:val="000000"/>
          <w:sz w:val="32"/>
          <w:szCs w:val="32"/>
          <w:highlight w:val="none"/>
        </w:rPr>
      </w:pPr>
    </w:p>
    <w:p>
      <w:pPr>
        <w:adjustRightInd w:val="0"/>
        <w:snapToGrid w:val="0"/>
        <w:jc w:val="center"/>
        <w:rPr>
          <w:rFonts w:hint="eastAsia" w:ascii="仿宋" w:hAnsi="仿宋" w:eastAsia="仿宋" w:cs="仿宋"/>
          <w:b/>
          <w:color w:val="000000"/>
          <w:sz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票据打印机（设备型号）：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打印方式（热敏/针式）：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通讯方式（串口/网口/USB）：</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电源功率：</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工作噪音：</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-12</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color w:val="000000"/>
          <w:kern w:val="2"/>
          <w:sz w:val="28"/>
          <w:szCs w:val="28"/>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（OBU）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OBU（设备型号）：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类型（单片/双片）：</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（2）射频芯片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（3）电池&amp;电容</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电池：</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电容：</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容量：</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容量：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（4）ESAM</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型号：</w:t>
      </w:r>
      <w:r>
        <w:rPr>
          <w:rFonts w:hint="eastAsia" w:ascii="仿宋" w:hAnsi="仿宋" w:eastAsia="仿宋" w:cs="仿宋"/>
          <w:color w:val="000000"/>
          <w:kern w:val="2"/>
          <w:sz w:val="28"/>
          <w:szCs w:val="28"/>
          <w:highlight w:val="none"/>
          <w:u w:val="single"/>
        </w:rPr>
        <w:t xml:space="preserve">              </w:t>
      </w: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bookmarkEnd w:id="41"/>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-13</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（CPC卡）</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CPC卡（设备型号）：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更新方式：</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存储容量：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（2）射频芯片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（3）电池&amp;电容</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电池：</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电容：</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容量：</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容量：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（4）ESAM</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型号：</w:t>
      </w:r>
      <w:r>
        <w:rPr>
          <w:rFonts w:hint="eastAsia" w:ascii="仿宋" w:hAnsi="仿宋" w:eastAsia="仿宋" w:cs="仿宋"/>
          <w:color w:val="000000"/>
          <w:kern w:val="2"/>
          <w:sz w:val="28"/>
          <w:szCs w:val="28"/>
          <w:highlight w:val="none"/>
          <w:u w:val="single"/>
        </w:rPr>
        <w:t xml:space="preserve">              </w:t>
      </w: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color w:val="000000"/>
          <w:kern w:val="0"/>
          <w:sz w:val="24"/>
          <w:highlight w:val="none"/>
          <w:lang w:bidi="ar"/>
        </w:rPr>
      </w:pPr>
      <w:r>
        <w:rPr>
          <w:rFonts w:hint="eastAsia" w:ascii="仿宋" w:hAnsi="仿宋" w:eastAsia="仿宋" w:cs="仿宋"/>
          <w:sz w:val="28"/>
          <w:szCs w:val="28"/>
          <w:highlight w:val="none"/>
        </w:rPr>
        <w:t xml:space="preserve">                               年    月     日</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-14</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（CPU卡）</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CPC卡（设备型号）：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软件版本：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硬件版本：</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唤醒方式：</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（1）MCU</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u w:val="singl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（2）射频芯片</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品牌：</w:t>
      </w:r>
      <w:r>
        <w:rPr>
          <w:rFonts w:hint="eastAsia" w:ascii="仿宋" w:hAnsi="仿宋" w:eastAsia="仿宋" w:cs="仿宋"/>
          <w:color w:val="000000"/>
          <w:kern w:val="2"/>
          <w:sz w:val="28"/>
          <w:szCs w:val="28"/>
          <w:highlight w:val="none"/>
          <w:u w:val="single"/>
        </w:rPr>
        <w:t xml:space="preserve">              </w:t>
      </w:r>
      <w:r>
        <w:rPr>
          <w:rFonts w:hint="eastAsia" w:ascii="仿宋" w:hAnsi="仿宋" w:eastAsia="仿宋" w:cs="仿宋"/>
          <w:color w:val="000000"/>
          <w:kern w:val="2"/>
          <w:sz w:val="28"/>
          <w:szCs w:val="28"/>
          <w:highlight w:val="none"/>
        </w:rPr>
        <w:t xml:space="preserve"> </w:t>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ab/>
      </w:r>
      <w:r>
        <w:rPr>
          <w:rFonts w:hint="eastAsia" w:ascii="仿宋" w:hAnsi="仿宋" w:eastAsia="仿宋" w:cs="仿宋"/>
          <w:color w:val="000000"/>
          <w:kern w:val="2"/>
          <w:sz w:val="28"/>
          <w:szCs w:val="28"/>
          <w:highlight w:val="none"/>
        </w:rPr>
        <w:t>型号：</w:t>
      </w:r>
      <w:r>
        <w:rPr>
          <w:rFonts w:hint="eastAsia" w:ascii="仿宋" w:hAnsi="仿宋" w:eastAsia="仿宋" w:cs="仿宋"/>
          <w:color w:val="000000"/>
          <w:kern w:val="2"/>
          <w:sz w:val="28"/>
          <w:szCs w:val="28"/>
          <w:highlight w:val="none"/>
          <w:u w:val="single"/>
        </w:rPr>
        <w:t xml:space="preserve">              </w:t>
      </w: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w:t>
      </w:r>
      <w:r>
        <w:rPr>
          <w:rFonts w:hint="eastAsia" w:ascii="仿宋" w:hAnsi="仿宋" w:eastAsia="仿宋" w:cs="仿宋"/>
          <w:b/>
          <w:color w:val="000000"/>
          <w:sz w:val="32"/>
          <w:szCs w:val="32"/>
          <w:highlight w:val="none"/>
          <w:lang w:val="en-US" w:eastAsia="zh-CN"/>
        </w:rPr>
        <w:t>兼容CPC卡读卡器</w:t>
      </w:r>
      <w:r>
        <w:rPr>
          <w:rFonts w:hint="eastAsia" w:ascii="仿宋" w:hAnsi="仿宋" w:eastAsia="仿宋" w:cs="仿宋"/>
          <w:b/>
          <w:color w:val="000000"/>
          <w:sz w:val="32"/>
          <w:szCs w:val="32"/>
          <w:highlight w:val="none"/>
        </w:rPr>
        <w:t>）</w:t>
      </w: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ascii="华文仿宋" w:hAnsi="华文仿宋" w:eastAsia="华文仿宋" w:cs="华文仿宋"/>
          <w:sz w:val="28"/>
          <w:szCs w:val="28"/>
        </w:rPr>
        <w:t>兼容</w:t>
      </w:r>
      <w:r>
        <w:rPr>
          <w:rFonts w:hint="eastAsia" w:ascii="华文仿宋" w:hAnsi="华文仿宋" w:eastAsia="华文仿宋" w:cs="华文仿宋"/>
          <w:sz w:val="28"/>
          <w:szCs w:val="28"/>
        </w:rPr>
        <w:t>C</w:t>
      </w:r>
      <w:r>
        <w:rPr>
          <w:rFonts w:ascii="华文仿宋" w:hAnsi="华文仿宋" w:eastAsia="华文仿宋" w:cs="华文仿宋"/>
          <w:sz w:val="28"/>
          <w:szCs w:val="28"/>
        </w:rPr>
        <w:t>PC</w:t>
      </w:r>
      <w:r>
        <w:rPr>
          <w:rFonts w:hint="eastAsia" w:ascii="华文仿宋" w:hAnsi="华文仿宋" w:eastAsia="华文仿宋" w:cs="华文仿宋"/>
          <w:sz w:val="28"/>
          <w:szCs w:val="28"/>
        </w:rPr>
        <w:t>卡读卡器</w:t>
      </w:r>
      <w:r>
        <w:rPr>
          <w:rFonts w:hint="eastAsia" w:ascii="仿宋" w:hAnsi="仿宋" w:eastAsia="仿宋" w:cs="仿宋"/>
          <w:color w:val="000000"/>
          <w:kern w:val="2"/>
          <w:sz w:val="28"/>
          <w:szCs w:val="28"/>
        </w:rPr>
        <w:t>（设备型号）：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软件版本：</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硬件版本：</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唤醒方式：</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（1）MCU</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品牌：</w:t>
      </w:r>
      <w:r>
        <w:rPr>
          <w:rFonts w:hint="eastAsia"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rPr>
        <w:t xml:space="preserve"> </w:t>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（2）射频芯片</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品牌：</w:t>
      </w:r>
      <w:r>
        <w:rPr>
          <w:rFonts w:hint="eastAsia"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rPr>
        <w:t xml:space="preserve"> </w:t>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w:t>
      </w:r>
      <w:r>
        <w:rPr>
          <w:rFonts w:ascii="仿宋" w:hAnsi="仿宋" w:eastAsia="仿宋" w:cs="仿宋"/>
          <w:color w:val="000000"/>
          <w:kern w:val="2"/>
          <w:sz w:val="28"/>
          <w:szCs w:val="28"/>
        </w:rPr>
        <w:t>3</w:t>
      </w:r>
      <w:r>
        <w:rPr>
          <w:rFonts w:hint="eastAsia" w:ascii="仿宋" w:hAnsi="仿宋" w:eastAsia="仿宋" w:cs="仿宋"/>
          <w:color w:val="000000"/>
          <w:kern w:val="2"/>
          <w:sz w:val="28"/>
          <w:szCs w:val="28"/>
        </w:rPr>
        <w:t>）ESAM</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品牌：</w:t>
      </w:r>
      <w:r>
        <w:rPr>
          <w:rFonts w:hint="eastAsia"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rPr>
        <w:t xml:space="preserve">     型号：</w:t>
      </w:r>
      <w:r>
        <w:rPr>
          <w:rFonts w:hint="eastAsia" w:ascii="仿宋" w:hAnsi="仿宋" w:eastAsia="仿宋" w:cs="仿宋"/>
          <w:color w:val="000000"/>
          <w:kern w:val="2"/>
          <w:sz w:val="28"/>
          <w:szCs w:val="28"/>
          <w:u w:val="single"/>
        </w:rPr>
        <w:t xml:space="preserve">              </w:t>
      </w:r>
    </w:p>
    <w:p>
      <w:pPr>
        <w:pStyle w:val="9"/>
        <w:shd w:val="clear" w:color="auto" w:fill="FFFFFF"/>
        <w:adjustRightInd w:val="0"/>
        <w:snapToGrid w:val="0"/>
        <w:spacing w:before="0" w:beforeAutospacing="0" w:after="0" w:afterAutospacing="0" w:line="300" w:lineRule="auto"/>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w:t>
      </w:r>
      <w:r>
        <w:rPr>
          <w:rFonts w:hint="eastAsia" w:ascii="仿宋" w:hAnsi="仿宋" w:eastAsia="仿宋" w:cs="仿宋"/>
          <w:b/>
          <w:color w:val="000000"/>
          <w:sz w:val="32"/>
          <w:szCs w:val="32"/>
          <w:highlight w:val="none"/>
          <w:lang w:val="en-US" w:eastAsia="zh-CN"/>
        </w:rPr>
        <w:t>第三方支付扫描器</w:t>
      </w:r>
      <w:r>
        <w:rPr>
          <w:rFonts w:hint="eastAsia" w:ascii="仿宋" w:hAnsi="仿宋" w:eastAsia="仿宋" w:cs="仿宋"/>
          <w:b/>
          <w:color w:val="000000"/>
          <w:sz w:val="32"/>
          <w:szCs w:val="32"/>
          <w:highlight w:val="none"/>
        </w:rPr>
        <w:t>）</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设备型号：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软件版本：</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硬件版本：</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（1）主要指标（</w:t>
      </w:r>
      <w:r>
        <w:rPr>
          <w:rFonts w:ascii="仿宋" w:hAnsi="仿宋" w:eastAsia="仿宋" w:cs="仿宋"/>
          <w:color w:val="000000"/>
          <w:kern w:val="2"/>
          <w:sz w:val="28"/>
          <w:szCs w:val="28"/>
        </w:rPr>
        <w:t>SJ/T11601）</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符号反差级别：</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识图速度级别：</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工作功耗级别：</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rPr>
      </w:pPr>
      <w:r>
        <w:rPr>
          <w:rFonts w:ascii="仿宋" w:hAnsi="仿宋" w:eastAsia="仿宋" w:cs="仿宋"/>
          <w:color w:val="000000"/>
          <w:kern w:val="2"/>
          <w:sz w:val="28"/>
          <w:szCs w:val="28"/>
        </w:rPr>
        <w:t>(附型式检验报告</w:t>
      </w:r>
      <w:r>
        <w:rPr>
          <w:rFonts w:hint="eastAsia" w:ascii="仿宋" w:hAnsi="仿宋" w:eastAsia="仿宋" w:cs="仿宋"/>
          <w:color w:val="000000"/>
          <w:kern w:val="2"/>
          <w:sz w:val="28"/>
          <w:szCs w:val="28"/>
        </w:rPr>
        <w:t>)</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w:t>
      </w:r>
      <w:r>
        <w:rPr>
          <w:rFonts w:ascii="仿宋" w:hAnsi="仿宋" w:eastAsia="仿宋" w:cs="仿宋"/>
          <w:color w:val="000000"/>
          <w:kern w:val="2"/>
          <w:sz w:val="28"/>
          <w:szCs w:val="28"/>
        </w:rPr>
        <w:t>2</w:t>
      </w:r>
      <w:r>
        <w:rPr>
          <w:rFonts w:hint="eastAsia" w:ascii="仿宋" w:hAnsi="仿宋" w:eastAsia="仿宋" w:cs="仿宋"/>
          <w:color w:val="000000"/>
          <w:kern w:val="2"/>
          <w:sz w:val="28"/>
          <w:szCs w:val="28"/>
        </w:rPr>
        <w:t>）电池</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品牌：</w:t>
      </w:r>
      <w:r>
        <w:rPr>
          <w:rFonts w:hint="eastAsia"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rPr>
        <w:t xml:space="preserve"> </w:t>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ab/>
      </w:r>
      <w:r>
        <w:rPr>
          <w:rFonts w:hint="eastAsia" w:ascii="仿宋" w:hAnsi="仿宋" w:eastAsia="仿宋" w:cs="仿宋"/>
          <w:color w:val="000000"/>
          <w:kern w:val="2"/>
          <w:sz w:val="28"/>
          <w:szCs w:val="28"/>
        </w:rPr>
        <w:t>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widowControl/>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p>
    <w:p>
      <w:pPr>
        <w:adjustRightInd w:val="0"/>
        <w:snapToGrid w:val="0"/>
        <w:jc w:val="center"/>
        <w:rPr>
          <w:rFonts w:hint="eastAsia" w:ascii="仿宋" w:hAnsi="仿宋" w:eastAsia="仿宋" w:cs="仿宋"/>
          <w:b/>
          <w:color w:val="000000"/>
          <w:sz w:val="32"/>
          <w:szCs w:val="32"/>
          <w:highlight w:val="none"/>
          <w:lang w:eastAsia="zh-CN"/>
        </w:rPr>
      </w:pPr>
      <w:r>
        <w:rPr>
          <w:rFonts w:hint="eastAsia" w:ascii="仿宋" w:hAnsi="仿宋" w:eastAsia="仿宋" w:cs="仿宋"/>
          <w:b/>
          <w:color w:val="000000"/>
          <w:sz w:val="32"/>
          <w:szCs w:val="32"/>
          <w:highlight w:val="none"/>
        </w:rPr>
        <w:t>云南省公路收费系统关键设备</w:t>
      </w:r>
      <w:r>
        <w:rPr>
          <w:rFonts w:hint="eastAsia" w:ascii="仿宋" w:hAnsi="仿宋" w:eastAsia="仿宋" w:cs="仿宋"/>
          <w:b/>
          <w:color w:val="000000"/>
          <w:sz w:val="32"/>
          <w:szCs w:val="32"/>
          <w:highlight w:val="none"/>
          <w:lang w:eastAsia="zh-CN"/>
        </w:rPr>
        <w:t>入网检测及联调测试</w:t>
      </w:r>
    </w:p>
    <w:p>
      <w:pPr>
        <w:adjustRightInd w:val="0"/>
        <w:snapToGrid w:val="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lang w:eastAsia="zh-CN"/>
        </w:rPr>
        <w:t>设备信息表</w:t>
      </w:r>
      <w:r>
        <w:rPr>
          <w:rFonts w:hint="eastAsia" w:ascii="仿宋" w:hAnsi="仿宋" w:eastAsia="仿宋" w:cs="仿宋"/>
          <w:b/>
          <w:color w:val="000000"/>
          <w:sz w:val="32"/>
          <w:szCs w:val="32"/>
          <w:highlight w:val="none"/>
        </w:rPr>
        <w:t>（</w:t>
      </w:r>
      <w:r>
        <w:rPr>
          <w:rFonts w:hint="eastAsia" w:ascii="仿宋" w:hAnsi="仿宋" w:eastAsia="仿宋" w:cs="仿宋"/>
          <w:b/>
          <w:color w:val="000000"/>
          <w:sz w:val="32"/>
          <w:szCs w:val="32"/>
          <w:highlight w:val="none"/>
          <w:lang w:val="en-US" w:eastAsia="zh-CN"/>
        </w:rPr>
        <w:t>防雷设备</w:t>
      </w:r>
      <w:r>
        <w:rPr>
          <w:rFonts w:hint="eastAsia" w:ascii="仿宋" w:hAnsi="仿宋" w:eastAsia="仿宋" w:cs="仿宋"/>
          <w:b/>
          <w:color w:val="000000"/>
          <w:sz w:val="32"/>
          <w:szCs w:val="32"/>
          <w:highlight w:val="none"/>
        </w:rPr>
        <w:t>）</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u w:val="single"/>
        </w:rPr>
      </w:pPr>
      <w:r>
        <w:rPr>
          <w:rFonts w:hint="eastAsia" w:ascii="仿宋" w:hAnsi="仿宋" w:eastAsia="仿宋" w:cs="仿宋"/>
          <w:color w:val="000000"/>
          <w:kern w:val="2"/>
          <w:sz w:val="28"/>
          <w:szCs w:val="28"/>
        </w:rPr>
        <w:t>设备型号：</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rPr>
        <w:t>其它需要说明的事项：</w:t>
      </w:r>
    </w:p>
    <w:p>
      <w:pPr>
        <w:pStyle w:val="9"/>
        <w:shd w:val="clear" w:color="auto" w:fill="FFFFFF"/>
        <w:spacing w:before="0" w:beforeAutospacing="0" w:after="0" w:afterAutospacing="0" w:line="360" w:lineRule="auto"/>
        <w:ind w:left="390" w:firstLine="560"/>
        <w:rPr>
          <w:rFonts w:ascii="仿宋" w:hAnsi="仿宋" w:eastAsia="仿宋" w:cs="仿宋"/>
          <w:color w:val="000000"/>
          <w:kern w:val="2"/>
          <w:sz w:val="28"/>
          <w:szCs w:val="28"/>
        </w:rPr>
      </w:pPr>
      <w:r>
        <w:rPr>
          <w:rFonts w:hint="eastAsia" w:ascii="仿宋" w:hAnsi="仿宋" w:eastAsia="仿宋" w:cs="仿宋"/>
          <w:color w:val="000000"/>
          <w:kern w:val="2"/>
          <w:sz w:val="28"/>
          <w:szCs w:val="28"/>
          <w:u w:val="single"/>
        </w:rPr>
        <w:t xml:space="preserve">                 </w:t>
      </w:r>
      <w:r>
        <w:rPr>
          <w:rFonts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rPr>
          <w:rFonts w:ascii="仿宋" w:hAnsi="仿宋" w:eastAsia="仿宋" w:cs="仿宋"/>
          <w:color w:val="000000"/>
          <w:kern w:val="2"/>
          <w:sz w:val="28"/>
          <w:szCs w:val="28"/>
        </w:rPr>
      </w:pPr>
      <w:r>
        <w:rPr>
          <w:rFonts w:hint="eastAsia" w:ascii="仿宋" w:hAnsi="仿宋" w:eastAsia="仿宋" w:cs="仿宋"/>
          <w:color w:val="000000"/>
          <w:kern w:val="2"/>
          <w:sz w:val="28"/>
          <w:szCs w:val="28"/>
          <w:u w:val="single"/>
        </w:rPr>
        <w:t xml:space="preserve">     </w:t>
      </w:r>
      <w:r>
        <w:rPr>
          <w:rFonts w:ascii="仿宋" w:hAnsi="仿宋" w:eastAsia="仿宋" w:cs="仿宋"/>
          <w:color w:val="000000"/>
          <w:kern w:val="2"/>
          <w:sz w:val="28"/>
          <w:szCs w:val="28"/>
          <w:u w:val="single"/>
        </w:rPr>
        <w:t xml:space="preserve">                     </w:t>
      </w:r>
      <w:r>
        <w:rPr>
          <w:rFonts w:hint="eastAsia" w:ascii="仿宋" w:hAnsi="仿宋" w:eastAsia="仿宋" w:cs="仿宋"/>
          <w:color w:val="000000"/>
          <w:kern w:val="2"/>
          <w:sz w:val="28"/>
          <w:szCs w:val="28"/>
          <w:u w:val="single"/>
        </w:rPr>
        <w:t xml:space="preserve">                                    </w:t>
      </w: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rPr>
      </w:pPr>
      <w:r>
        <w:rPr>
          <w:rFonts w:ascii="仿宋" w:hAnsi="仿宋" w:eastAsia="仿宋" w:cs="仿宋"/>
          <w:color w:val="000000"/>
          <w:kern w:val="2"/>
          <w:sz w:val="28"/>
          <w:szCs w:val="28"/>
        </w:rPr>
        <w:t xml:space="preserve"> (附型式检验报告</w:t>
      </w:r>
      <w:r>
        <w:rPr>
          <w:rFonts w:hint="eastAsia" w:ascii="仿宋" w:hAnsi="仿宋" w:eastAsia="仿宋" w:cs="仿宋"/>
          <w:color w:val="000000"/>
          <w:kern w:val="2"/>
          <w:sz w:val="28"/>
          <w:szCs w:val="28"/>
        </w:rPr>
        <w:t>)</w:t>
      </w:r>
    </w:p>
    <w:p>
      <w:pPr>
        <w:pStyle w:val="9"/>
        <w:shd w:val="clear" w:color="auto" w:fill="FFFFFF"/>
        <w:spacing w:before="0" w:beforeAutospacing="0" w:after="0" w:afterAutospacing="0" w:line="360" w:lineRule="auto"/>
        <w:rPr>
          <w:rFonts w:hint="eastAsia" w:ascii="仿宋" w:hAnsi="仿宋" w:eastAsia="仿宋" w:cs="仿宋"/>
          <w:color w:val="000000"/>
          <w:kern w:val="2"/>
          <w:sz w:val="28"/>
          <w:szCs w:val="28"/>
          <w:highlight w:val="none"/>
        </w:rPr>
      </w:pPr>
    </w:p>
    <w:p>
      <w:pPr>
        <w:pStyle w:val="9"/>
        <w:shd w:val="clear" w:color="auto" w:fill="FFFFFF"/>
        <w:spacing w:before="0" w:beforeAutospacing="0" w:after="0" w:afterAutospacing="0" w:line="360" w:lineRule="auto"/>
        <w:ind w:left="390" w:firstLine="56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p>
    <w:p>
      <w:pPr>
        <w:pStyle w:val="9"/>
        <w:shd w:val="clear" w:color="auto" w:fill="FFFFFF"/>
        <w:adjustRightInd w:val="0"/>
        <w:snapToGrid w:val="0"/>
        <w:spacing w:before="0" w:beforeAutospacing="0" w:after="0" w:afterAutospacing="0" w:line="300" w:lineRule="auto"/>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我公司承诺本次测试提交样品与正式供货产品硬件的关键器件保持一致，如果出现后续供货与测试提交样品不一致的情况，我公司承担因此造成的一切责任。</w:t>
      </w:r>
    </w:p>
    <w:p>
      <w:pPr>
        <w:tabs>
          <w:tab w:val="left" w:pos="5426"/>
        </w:tabs>
        <w:adjustRightInd w:val="0"/>
        <w:snapToGrid w:val="0"/>
        <w:spacing w:line="360" w:lineRule="auto"/>
        <w:ind w:firstLine="4200" w:firstLineChars="15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widowControl/>
        <w:jc w:val="left"/>
        <w:rPr>
          <w:rFonts w:hint="eastAsia" w:ascii="仿宋" w:hAnsi="仿宋" w:eastAsia="仿宋" w:cs="仿宋"/>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28"/>
          <w:szCs w:val="28"/>
          <w:highlight w:val="none"/>
        </w:rPr>
        <w:t xml:space="preserve">                               年    月     日</w:t>
      </w:r>
    </w:p>
    <w:p>
      <w:pPr>
        <w:pStyle w:val="2"/>
        <w:bidi w:val="0"/>
        <w:rPr>
          <w:rFonts w:hint="eastAsia"/>
        </w:rPr>
      </w:pPr>
      <w:bookmarkStart w:id="42" w:name="_Toc12567"/>
      <w:r>
        <w:rPr>
          <w:rFonts w:hint="eastAsia"/>
        </w:rPr>
        <w:t>附件3</w:t>
      </w:r>
      <w:bookmarkEnd w:id="42"/>
    </w:p>
    <w:p>
      <w:pPr>
        <w:pStyle w:val="2"/>
        <w:bidi w:val="0"/>
        <w:jc w:val="center"/>
        <w:rPr>
          <w:rFonts w:hint="eastAsia" w:ascii="仿宋" w:hAnsi="仿宋" w:eastAsia="仿宋" w:cs="仿宋"/>
          <w:b/>
          <w:sz w:val="32"/>
          <w:szCs w:val="32"/>
          <w:highlight w:val="none"/>
        </w:rPr>
      </w:pPr>
      <w:bookmarkStart w:id="43" w:name="_Toc28256"/>
      <w:r>
        <w:rPr>
          <w:rFonts w:hint="eastAsia" w:ascii="仿宋" w:hAnsi="仿宋" w:eastAsia="仿宋" w:cs="仿宋"/>
          <w:b/>
          <w:sz w:val="32"/>
          <w:szCs w:val="32"/>
          <w:highlight w:val="none"/>
        </w:rPr>
        <w:t>云南省公路收费系统关键设备</w:t>
      </w:r>
      <w:r>
        <w:rPr>
          <w:rFonts w:hint="eastAsia" w:ascii="仿宋" w:hAnsi="仿宋" w:eastAsia="仿宋" w:cs="仿宋"/>
          <w:b/>
          <w:sz w:val="32"/>
          <w:szCs w:val="32"/>
          <w:highlight w:val="none"/>
          <w:lang w:eastAsia="zh-CN"/>
        </w:rPr>
        <w:t>入网检测及联调测试</w:t>
      </w:r>
      <w:bookmarkEnd w:id="43"/>
    </w:p>
    <w:p>
      <w:pPr>
        <w:keepNext w:val="0"/>
        <w:keepLines w:val="0"/>
        <w:pageBreakBefore w:val="0"/>
        <w:kinsoku/>
        <w:overflowPunct/>
        <w:topLinePunct w:val="0"/>
        <w:autoSpaceDE/>
        <w:autoSpaceDN/>
        <w:bidi w:val="0"/>
        <w:adjustRightInd/>
        <w:snapToGrid/>
        <w:spacing w:after="156" w:afterLines="50" w:line="560" w:lineRule="exact"/>
        <w:jc w:val="center"/>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承诺书</w:t>
      </w:r>
    </w:p>
    <w:p>
      <w:pPr>
        <w:keepNext w:val="0"/>
        <w:keepLines w:val="0"/>
        <w:pageBreakBefore w:val="0"/>
        <w:widowControl/>
        <w:kinsoku/>
        <w:overflowPunct/>
        <w:topLinePunct w:val="0"/>
        <w:autoSpaceDE/>
        <w:autoSpaceDN/>
        <w:bidi w:val="0"/>
        <w:adjustRightInd/>
        <w:snapToGrid/>
        <w:spacing w:line="560" w:lineRule="exact"/>
        <w:ind w:right="640"/>
        <w:textAlignment w:val="auto"/>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云南公路联网收费管理有限公司：</w:t>
      </w:r>
    </w:p>
    <w:p>
      <w:pPr>
        <w:keepNext w:val="0"/>
        <w:keepLines w:val="0"/>
        <w:pageBreakBefore w:val="0"/>
        <w:kinsoku/>
        <w:overflowPunct/>
        <w:topLinePunct w:val="0"/>
        <w:autoSpaceDE/>
        <w:autoSpaceDN/>
        <w:bidi w:val="0"/>
        <w:adjustRightInd/>
        <w:snapToGrid/>
        <w:spacing w:line="560" w:lineRule="exact"/>
        <w:ind w:firstLine="560" w:firstLineChars="200"/>
        <w:jc w:val="both"/>
        <w:textAlignment w:val="auto"/>
        <w:rPr>
          <w:rFonts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根据“云南省公路收费系统关键设备</w:t>
      </w:r>
      <w:r>
        <w:rPr>
          <w:rFonts w:hint="eastAsia" w:ascii="仿宋" w:hAnsi="仿宋" w:eastAsia="仿宋" w:cs="仿宋"/>
          <w:color w:val="000000"/>
          <w:kern w:val="2"/>
          <w:sz w:val="28"/>
          <w:szCs w:val="28"/>
          <w:highlight w:val="none"/>
          <w:lang w:eastAsia="zh-CN"/>
        </w:rPr>
        <w:t>入网检测及联调测试</w:t>
      </w:r>
      <w:r>
        <w:rPr>
          <w:rFonts w:hint="eastAsia" w:ascii="仿宋" w:hAnsi="仿宋" w:eastAsia="仿宋" w:cs="仿宋"/>
          <w:color w:val="000000"/>
          <w:kern w:val="2"/>
          <w:sz w:val="28"/>
          <w:szCs w:val="28"/>
          <w:highlight w:val="none"/>
          <w:lang w:val="en-US" w:eastAsia="zh-CN"/>
        </w:rPr>
        <w:t>通知</w:t>
      </w:r>
      <w:r>
        <w:rPr>
          <w:rFonts w:hint="eastAsia" w:ascii="仿宋" w:hAnsi="仿宋" w:eastAsia="仿宋" w:cs="仿宋"/>
          <w:color w:val="000000"/>
          <w:kern w:val="2"/>
          <w:sz w:val="28"/>
          <w:szCs w:val="28"/>
          <w:highlight w:val="none"/>
        </w:rPr>
        <w:t>”的要求，我公司就参与本次测试承诺如下：</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一、我单位自愿参加贵单位组织的本次测试，同意按照贵单位或者贵单位委托的测试单位制定的测试方案进行测试。</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二、本次测试提交样品与后续正式供货产品硬件的主要器件保持一致（样品关键器件附后），如果出现后续供货与测试提交样品不一致的情况，我公司承担因此造成的一切责任。</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三、测试期间，我公司人员服从贵单位以及委托测试单位组织和安排，未经允许不去测试场所，不干扰测试、不篡改测试数据、不私自打听测试结果等影响和破坏测试的事情，如有违反愿意按照违纪处理。</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kern w:val="2"/>
          <w:sz w:val="28"/>
          <w:szCs w:val="28"/>
          <w:highlight w:val="none"/>
        </w:rPr>
      </w:pPr>
      <w:r>
        <w:rPr>
          <w:rFonts w:hint="eastAsia" w:ascii="仿宋" w:hAnsi="仿宋" w:eastAsia="仿宋" w:cs="仿宋"/>
          <w:kern w:val="2"/>
          <w:sz w:val="28"/>
          <w:szCs w:val="28"/>
          <w:highlight w:val="none"/>
        </w:rPr>
        <w:t>四、测试期间，所有测试设备接入收费专网时，应遵守国家、交通运输部和云南省收费网络安全的相关规定和要求。</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kern w:val="2"/>
          <w:sz w:val="28"/>
          <w:szCs w:val="28"/>
          <w:highlight w:val="none"/>
        </w:rPr>
      </w:pPr>
      <w:r>
        <w:rPr>
          <w:rFonts w:hint="eastAsia" w:ascii="仿宋" w:hAnsi="仿宋" w:eastAsia="仿宋" w:cs="仿宋"/>
          <w:kern w:val="2"/>
          <w:sz w:val="28"/>
          <w:szCs w:val="28"/>
          <w:highlight w:val="none"/>
        </w:rPr>
        <w:t>五、测试期间我公司送检</w:t>
      </w:r>
      <w:r>
        <w:rPr>
          <w:rFonts w:hint="eastAsia" w:ascii="仿宋" w:hAnsi="仿宋" w:eastAsia="仿宋" w:cs="仿宋"/>
          <w:kern w:val="2"/>
          <w:sz w:val="28"/>
          <w:szCs w:val="28"/>
          <w:highlight w:val="none"/>
          <w:lang w:val="en-US" w:eastAsia="zh-CN"/>
        </w:rPr>
        <w:t>和参测</w:t>
      </w:r>
      <w:r>
        <w:rPr>
          <w:rFonts w:hint="eastAsia" w:ascii="仿宋" w:hAnsi="仿宋" w:eastAsia="仿宋" w:cs="仿宋"/>
          <w:kern w:val="2"/>
          <w:sz w:val="28"/>
          <w:szCs w:val="28"/>
          <w:highlight w:val="none"/>
        </w:rPr>
        <w:t>人员安全由我公司自行负责。</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color w:val="000000"/>
          <w:kern w:val="2"/>
          <w:sz w:val="28"/>
          <w:szCs w:val="28"/>
          <w:highlight w:val="none"/>
        </w:rPr>
      </w:pPr>
      <w:r>
        <w:rPr>
          <w:rFonts w:hint="eastAsia" w:ascii="仿宋" w:hAnsi="仿宋" w:eastAsia="仿宋" w:cs="仿宋"/>
          <w:kern w:val="2"/>
          <w:sz w:val="28"/>
          <w:szCs w:val="28"/>
          <w:highlight w:val="none"/>
        </w:rPr>
        <w:t>六、在用户使用过程中如出现设备质量问题，我方立即解决完善。如需召回，我方将承担召回所产生的一切责任。</w:t>
      </w:r>
    </w:p>
    <w:p>
      <w:pPr>
        <w:pStyle w:val="9"/>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560" w:firstLineChars="200"/>
        <w:textAlignment w:val="auto"/>
        <w:rPr>
          <w:rFonts w:ascii="仿宋" w:hAnsi="仿宋" w:eastAsia="仿宋" w:cs="仿宋"/>
          <w:color w:val="000000"/>
          <w:kern w:val="2"/>
          <w:sz w:val="28"/>
          <w:szCs w:val="28"/>
          <w:highlight w:val="none"/>
        </w:rPr>
      </w:pPr>
    </w:p>
    <w:p>
      <w:pPr>
        <w:keepNext w:val="0"/>
        <w:keepLines w:val="0"/>
        <w:pageBreakBefore w:val="0"/>
        <w:tabs>
          <w:tab w:val="left" w:pos="5426"/>
        </w:tabs>
        <w:kinsoku/>
        <w:wordWrap w:val="0"/>
        <w:overflowPunct/>
        <w:topLinePunct w:val="0"/>
        <w:autoSpaceDE/>
        <w:autoSpaceDN/>
        <w:bidi w:val="0"/>
        <w:adjustRightInd/>
        <w:snapToGrid/>
        <w:spacing w:line="560" w:lineRule="exact"/>
        <w:jc w:val="right"/>
        <w:textAlignment w:val="auto"/>
        <w:rPr>
          <w:rFonts w:ascii="仿宋" w:hAnsi="仿宋" w:eastAsia="仿宋" w:cs="仿宋"/>
          <w:sz w:val="28"/>
          <w:szCs w:val="28"/>
          <w:highlight w:val="none"/>
          <w:u w:val="single"/>
        </w:rPr>
      </w:pPr>
      <w:r>
        <w:rPr>
          <w:rFonts w:hint="eastAsia" w:ascii="仿宋" w:hAnsi="仿宋" w:eastAsia="仿宋" w:cs="仿宋"/>
          <w:sz w:val="28"/>
          <w:szCs w:val="28"/>
          <w:highlight w:val="none"/>
        </w:rPr>
        <w:t>公司名称（盖章）：</w:t>
      </w:r>
    </w:p>
    <w:p>
      <w:pPr>
        <w:keepNext w:val="0"/>
        <w:keepLines w:val="0"/>
        <w:pageBreakBefore w:val="0"/>
        <w:tabs>
          <w:tab w:val="left" w:pos="5426"/>
        </w:tabs>
        <w:kinsoku/>
        <w:overflowPunct/>
        <w:topLinePunct w:val="0"/>
        <w:autoSpaceDE/>
        <w:autoSpaceDN/>
        <w:bidi w:val="0"/>
        <w:adjustRightInd/>
        <w:snapToGrid/>
        <w:spacing w:line="560" w:lineRule="exact"/>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年    月     日</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38</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38</w:t>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lvlText w:val="%1"/>
      <w:lvlJc w:val="left"/>
      <w:pPr>
        <w:tabs>
          <w:tab w:val="left" w:pos="432"/>
        </w:tabs>
        <w:ind w:left="432" w:hanging="432"/>
      </w:pPr>
      <w:rPr>
        <w:rFonts w:hint="eastAsia"/>
      </w:rPr>
    </w:lvl>
    <w:lvl w:ilvl="1" w:tentative="0">
      <w:start w:val="1"/>
      <w:numFmt w:val="decimal"/>
      <w:pStyle w:val="3"/>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sz w:val="28"/>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7D67"/>
    <w:rsid w:val="012239D0"/>
    <w:rsid w:val="013855F7"/>
    <w:rsid w:val="019575AE"/>
    <w:rsid w:val="01FF104D"/>
    <w:rsid w:val="0289742A"/>
    <w:rsid w:val="03094298"/>
    <w:rsid w:val="05973C0B"/>
    <w:rsid w:val="05DC3269"/>
    <w:rsid w:val="05EA7AC3"/>
    <w:rsid w:val="060D2E5E"/>
    <w:rsid w:val="060E587E"/>
    <w:rsid w:val="06AB08FE"/>
    <w:rsid w:val="06E829BA"/>
    <w:rsid w:val="06F20707"/>
    <w:rsid w:val="07527C97"/>
    <w:rsid w:val="08405853"/>
    <w:rsid w:val="09454156"/>
    <w:rsid w:val="09513537"/>
    <w:rsid w:val="09582F22"/>
    <w:rsid w:val="09E239F6"/>
    <w:rsid w:val="0A1050FC"/>
    <w:rsid w:val="0A254E12"/>
    <w:rsid w:val="0A586F15"/>
    <w:rsid w:val="0A690B9F"/>
    <w:rsid w:val="0BEB7D5C"/>
    <w:rsid w:val="0BF5372A"/>
    <w:rsid w:val="0C177F35"/>
    <w:rsid w:val="0C1F1460"/>
    <w:rsid w:val="0DCE51D9"/>
    <w:rsid w:val="0E13768F"/>
    <w:rsid w:val="0E286A73"/>
    <w:rsid w:val="0EA425FE"/>
    <w:rsid w:val="0F5F366F"/>
    <w:rsid w:val="0F92655C"/>
    <w:rsid w:val="0FE812FA"/>
    <w:rsid w:val="0FEE3A52"/>
    <w:rsid w:val="10E5616B"/>
    <w:rsid w:val="112B6E16"/>
    <w:rsid w:val="11360060"/>
    <w:rsid w:val="122E0913"/>
    <w:rsid w:val="138D4806"/>
    <w:rsid w:val="139F6217"/>
    <w:rsid w:val="13B13DD0"/>
    <w:rsid w:val="143F2AB7"/>
    <w:rsid w:val="14460C27"/>
    <w:rsid w:val="14E43AF0"/>
    <w:rsid w:val="156E5C8E"/>
    <w:rsid w:val="168E7D38"/>
    <w:rsid w:val="16A01AF1"/>
    <w:rsid w:val="16B01A0D"/>
    <w:rsid w:val="16CD7D30"/>
    <w:rsid w:val="16EB4426"/>
    <w:rsid w:val="17880A7C"/>
    <w:rsid w:val="17E5285C"/>
    <w:rsid w:val="18126A09"/>
    <w:rsid w:val="1828004C"/>
    <w:rsid w:val="183701D0"/>
    <w:rsid w:val="18791ECB"/>
    <w:rsid w:val="1965002D"/>
    <w:rsid w:val="19A52355"/>
    <w:rsid w:val="19FD3010"/>
    <w:rsid w:val="1A324822"/>
    <w:rsid w:val="1A541D5D"/>
    <w:rsid w:val="1AB94B45"/>
    <w:rsid w:val="1B1E3B4A"/>
    <w:rsid w:val="1B360E41"/>
    <w:rsid w:val="1B5539A6"/>
    <w:rsid w:val="1BF3442F"/>
    <w:rsid w:val="1C057ADC"/>
    <w:rsid w:val="1C5D63F6"/>
    <w:rsid w:val="1CF619EC"/>
    <w:rsid w:val="1D356931"/>
    <w:rsid w:val="1D3E10AE"/>
    <w:rsid w:val="1DC50D2B"/>
    <w:rsid w:val="1E547B65"/>
    <w:rsid w:val="1E6A7415"/>
    <w:rsid w:val="1E6E35E0"/>
    <w:rsid w:val="1EC0481F"/>
    <w:rsid w:val="1F3D3A31"/>
    <w:rsid w:val="204701E5"/>
    <w:rsid w:val="207F0E98"/>
    <w:rsid w:val="21717C07"/>
    <w:rsid w:val="21750C32"/>
    <w:rsid w:val="217D5334"/>
    <w:rsid w:val="22735F1E"/>
    <w:rsid w:val="22AC702B"/>
    <w:rsid w:val="232A0171"/>
    <w:rsid w:val="233A2BBF"/>
    <w:rsid w:val="23486556"/>
    <w:rsid w:val="23D915D8"/>
    <w:rsid w:val="24254B5D"/>
    <w:rsid w:val="24345F70"/>
    <w:rsid w:val="257A6762"/>
    <w:rsid w:val="264F3A33"/>
    <w:rsid w:val="265B246D"/>
    <w:rsid w:val="26D1172D"/>
    <w:rsid w:val="27B85C86"/>
    <w:rsid w:val="287A1E52"/>
    <w:rsid w:val="29367D90"/>
    <w:rsid w:val="297354F9"/>
    <w:rsid w:val="298D0E3A"/>
    <w:rsid w:val="2A3A6B88"/>
    <w:rsid w:val="2A3F562B"/>
    <w:rsid w:val="2AA912D9"/>
    <w:rsid w:val="2AF01526"/>
    <w:rsid w:val="2B365B35"/>
    <w:rsid w:val="2C235795"/>
    <w:rsid w:val="2C605345"/>
    <w:rsid w:val="2C7B2070"/>
    <w:rsid w:val="2C981ACB"/>
    <w:rsid w:val="2CB23E28"/>
    <w:rsid w:val="2D0727AC"/>
    <w:rsid w:val="2D6E02D5"/>
    <w:rsid w:val="2D803AD2"/>
    <w:rsid w:val="2DA44A5C"/>
    <w:rsid w:val="2DD61311"/>
    <w:rsid w:val="2F091DFE"/>
    <w:rsid w:val="2FA77A19"/>
    <w:rsid w:val="3011414E"/>
    <w:rsid w:val="306D3F2F"/>
    <w:rsid w:val="30AE711F"/>
    <w:rsid w:val="30F246F6"/>
    <w:rsid w:val="31263EA7"/>
    <w:rsid w:val="31556129"/>
    <w:rsid w:val="325A6E68"/>
    <w:rsid w:val="32EF6CA3"/>
    <w:rsid w:val="335A1D34"/>
    <w:rsid w:val="34E21CDD"/>
    <w:rsid w:val="3574388B"/>
    <w:rsid w:val="35BE2D78"/>
    <w:rsid w:val="35E93ECD"/>
    <w:rsid w:val="364A3FF6"/>
    <w:rsid w:val="36810310"/>
    <w:rsid w:val="371615E3"/>
    <w:rsid w:val="37225D91"/>
    <w:rsid w:val="37517F90"/>
    <w:rsid w:val="3776547A"/>
    <w:rsid w:val="37F75CCF"/>
    <w:rsid w:val="38812BE0"/>
    <w:rsid w:val="39343DB3"/>
    <w:rsid w:val="397962F6"/>
    <w:rsid w:val="39DC7E73"/>
    <w:rsid w:val="3A7C42F0"/>
    <w:rsid w:val="3A90433F"/>
    <w:rsid w:val="3B8B260A"/>
    <w:rsid w:val="3BBE680D"/>
    <w:rsid w:val="3C06308A"/>
    <w:rsid w:val="3C2B630E"/>
    <w:rsid w:val="3C4E2513"/>
    <w:rsid w:val="3CFF7B80"/>
    <w:rsid w:val="3D0F1BC7"/>
    <w:rsid w:val="3D1E519C"/>
    <w:rsid w:val="3DE420EC"/>
    <w:rsid w:val="3DF2516C"/>
    <w:rsid w:val="41754FC4"/>
    <w:rsid w:val="419F2DAA"/>
    <w:rsid w:val="41A924CC"/>
    <w:rsid w:val="421F2272"/>
    <w:rsid w:val="43A06738"/>
    <w:rsid w:val="441A1DC3"/>
    <w:rsid w:val="44795666"/>
    <w:rsid w:val="457C557A"/>
    <w:rsid w:val="45EC3ED1"/>
    <w:rsid w:val="470C24D1"/>
    <w:rsid w:val="477A5C3D"/>
    <w:rsid w:val="47925E63"/>
    <w:rsid w:val="47B7327D"/>
    <w:rsid w:val="48212CDA"/>
    <w:rsid w:val="48345E53"/>
    <w:rsid w:val="483F26A1"/>
    <w:rsid w:val="48835426"/>
    <w:rsid w:val="49A204E5"/>
    <w:rsid w:val="49BB2DAA"/>
    <w:rsid w:val="49DE4FD1"/>
    <w:rsid w:val="49F156D3"/>
    <w:rsid w:val="4A183C0E"/>
    <w:rsid w:val="4A48538F"/>
    <w:rsid w:val="4ABB326A"/>
    <w:rsid w:val="4ADB3EA5"/>
    <w:rsid w:val="4BFE5E81"/>
    <w:rsid w:val="4C0D7666"/>
    <w:rsid w:val="4C107117"/>
    <w:rsid w:val="4C65796E"/>
    <w:rsid w:val="4C777562"/>
    <w:rsid w:val="4CB25309"/>
    <w:rsid w:val="4CFF043E"/>
    <w:rsid w:val="4D833664"/>
    <w:rsid w:val="4F0E7486"/>
    <w:rsid w:val="504B3C70"/>
    <w:rsid w:val="51112BB4"/>
    <w:rsid w:val="519A75FD"/>
    <w:rsid w:val="51A63F9A"/>
    <w:rsid w:val="51C841B0"/>
    <w:rsid w:val="521E4BB5"/>
    <w:rsid w:val="525922A6"/>
    <w:rsid w:val="53BC57AA"/>
    <w:rsid w:val="53D97A8B"/>
    <w:rsid w:val="53FE5672"/>
    <w:rsid w:val="54EB15CC"/>
    <w:rsid w:val="55074CDD"/>
    <w:rsid w:val="55EF0D99"/>
    <w:rsid w:val="56155683"/>
    <w:rsid w:val="565E1C38"/>
    <w:rsid w:val="565F5A61"/>
    <w:rsid w:val="5664170D"/>
    <w:rsid w:val="56711C05"/>
    <w:rsid w:val="56BC7341"/>
    <w:rsid w:val="589C291A"/>
    <w:rsid w:val="58F25BCA"/>
    <w:rsid w:val="592138B3"/>
    <w:rsid w:val="59337494"/>
    <w:rsid w:val="595D4909"/>
    <w:rsid w:val="5A714535"/>
    <w:rsid w:val="5A7F24E1"/>
    <w:rsid w:val="5B2902E9"/>
    <w:rsid w:val="5B9300DB"/>
    <w:rsid w:val="5BC44D70"/>
    <w:rsid w:val="5C63542B"/>
    <w:rsid w:val="5D1E071E"/>
    <w:rsid w:val="5D26424A"/>
    <w:rsid w:val="5D526425"/>
    <w:rsid w:val="5D5B2B69"/>
    <w:rsid w:val="5D5C6B12"/>
    <w:rsid w:val="5DE578FB"/>
    <w:rsid w:val="5E734B91"/>
    <w:rsid w:val="5ED90C2C"/>
    <w:rsid w:val="5F0E1EFE"/>
    <w:rsid w:val="5F4D4AE2"/>
    <w:rsid w:val="5F6B4E84"/>
    <w:rsid w:val="5FEC76BD"/>
    <w:rsid w:val="601D3488"/>
    <w:rsid w:val="60955A15"/>
    <w:rsid w:val="62693283"/>
    <w:rsid w:val="62916E25"/>
    <w:rsid w:val="62A12730"/>
    <w:rsid w:val="62D67E0F"/>
    <w:rsid w:val="63203700"/>
    <w:rsid w:val="643F0434"/>
    <w:rsid w:val="64C90F84"/>
    <w:rsid w:val="655C0236"/>
    <w:rsid w:val="65DC7C6B"/>
    <w:rsid w:val="661E4591"/>
    <w:rsid w:val="66417F42"/>
    <w:rsid w:val="665F4C8F"/>
    <w:rsid w:val="67B9443A"/>
    <w:rsid w:val="68001EC9"/>
    <w:rsid w:val="68AE26B6"/>
    <w:rsid w:val="68AF63C6"/>
    <w:rsid w:val="697B18E7"/>
    <w:rsid w:val="6A5F51BF"/>
    <w:rsid w:val="6B1849DD"/>
    <w:rsid w:val="6B766345"/>
    <w:rsid w:val="6B7F45B2"/>
    <w:rsid w:val="6BF70594"/>
    <w:rsid w:val="6C1A3A2B"/>
    <w:rsid w:val="6C5C0799"/>
    <w:rsid w:val="6C5F7731"/>
    <w:rsid w:val="6CEF378F"/>
    <w:rsid w:val="6D3A39B5"/>
    <w:rsid w:val="6DE872EA"/>
    <w:rsid w:val="6DF8563B"/>
    <w:rsid w:val="6E343C89"/>
    <w:rsid w:val="6E3E3E99"/>
    <w:rsid w:val="6E466A7E"/>
    <w:rsid w:val="6E4E1D77"/>
    <w:rsid w:val="6E571C60"/>
    <w:rsid w:val="6E580E24"/>
    <w:rsid w:val="6E6A02E3"/>
    <w:rsid w:val="6ECC29F4"/>
    <w:rsid w:val="6F277ED9"/>
    <w:rsid w:val="6F354C3C"/>
    <w:rsid w:val="6FCB3D3F"/>
    <w:rsid w:val="70063F41"/>
    <w:rsid w:val="701F7311"/>
    <w:rsid w:val="70364D16"/>
    <w:rsid w:val="70552452"/>
    <w:rsid w:val="70AC0A40"/>
    <w:rsid w:val="70CD7C6B"/>
    <w:rsid w:val="70EA60BE"/>
    <w:rsid w:val="72985CBC"/>
    <w:rsid w:val="72A35C4E"/>
    <w:rsid w:val="72E141B1"/>
    <w:rsid w:val="73535EE0"/>
    <w:rsid w:val="737D7653"/>
    <w:rsid w:val="74114F49"/>
    <w:rsid w:val="743C5502"/>
    <w:rsid w:val="748C4B8B"/>
    <w:rsid w:val="75FC3305"/>
    <w:rsid w:val="763C1A21"/>
    <w:rsid w:val="76832B8A"/>
    <w:rsid w:val="77767B4B"/>
    <w:rsid w:val="77D75B74"/>
    <w:rsid w:val="783169B8"/>
    <w:rsid w:val="78CD76AF"/>
    <w:rsid w:val="78D176EC"/>
    <w:rsid w:val="78D63294"/>
    <w:rsid w:val="78E3084D"/>
    <w:rsid w:val="78F604BF"/>
    <w:rsid w:val="7909150D"/>
    <w:rsid w:val="79845C5B"/>
    <w:rsid w:val="79D256D2"/>
    <w:rsid w:val="79DE005E"/>
    <w:rsid w:val="7A6E314B"/>
    <w:rsid w:val="7C1A6D59"/>
    <w:rsid w:val="7C631583"/>
    <w:rsid w:val="7CBF0441"/>
    <w:rsid w:val="7D746B81"/>
    <w:rsid w:val="7E05145F"/>
    <w:rsid w:val="7E196E7B"/>
    <w:rsid w:val="7ED229DF"/>
    <w:rsid w:val="7F6B68BD"/>
    <w:rsid w:val="7F860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0"/>
    <w:pPr>
      <w:keepNext/>
      <w:keepLines/>
      <w:spacing w:line="560" w:lineRule="exact"/>
      <w:ind w:firstLine="0" w:firstLineChars="0"/>
      <w:outlineLvl w:val="0"/>
    </w:pPr>
    <w:rPr>
      <w:rFonts w:asciiTheme="minorAscii" w:hAnsiTheme="minorAscii"/>
      <w:b/>
      <w:bCs/>
      <w:kern w:val="44"/>
      <w:sz w:val="30"/>
      <w:szCs w:val="30"/>
    </w:rPr>
  </w:style>
  <w:style w:type="paragraph" w:styleId="3">
    <w:name w:val="heading 2"/>
    <w:basedOn w:val="1"/>
    <w:next w:val="1"/>
    <w:qFormat/>
    <w:uiPriority w:val="0"/>
    <w:pPr>
      <w:keepNext/>
      <w:keepLines/>
      <w:numPr>
        <w:ilvl w:val="1"/>
        <w:numId w:val="1"/>
      </w:numPr>
      <w:spacing w:line="560" w:lineRule="exact"/>
      <w:ind w:left="578" w:hanging="578"/>
      <w:outlineLvl w:val="1"/>
    </w:pPr>
    <w:rPr>
      <w:rFonts w:ascii="Arial" w:hAnsi="Arial" w:eastAsia="宋体"/>
      <w:b/>
      <w:bCs/>
      <w:sz w:val="28"/>
      <w:szCs w:val="32"/>
    </w:rPr>
  </w:style>
  <w:style w:type="paragraph" w:styleId="4">
    <w:name w:val="heading 3"/>
    <w:basedOn w:val="1"/>
    <w:next w:val="1"/>
    <w:qFormat/>
    <w:uiPriority w:val="0"/>
    <w:pPr>
      <w:keepNext/>
      <w:keepLines/>
      <w:spacing w:before="156" w:beforeLines="50" w:after="156" w:afterLines="50" w:line="416" w:lineRule="auto"/>
      <w:outlineLvl w:val="2"/>
    </w:pPr>
    <w:rPr>
      <w:rFonts w:eastAsia="宋体"/>
      <w:b/>
      <w:bCs/>
      <w:kern w:val="2"/>
      <w:sz w:val="28"/>
      <w:szCs w:val="3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kern w:val="2"/>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12">
    <w:name w:val="page number"/>
    <w:basedOn w:val="11"/>
    <w:qFormat/>
    <w:uiPriority w:val="0"/>
  </w:style>
  <w:style w:type="paragraph" w:styleId="13">
    <w:name w:val="List Paragraph"/>
    <w:basedOn w:val="1"/>
    <w:qFormat/>
    <w:uiPriority w:val="0"/>
    <w:pPr>
      <w:spacing w:line="240" w:lineRule="auto"/>
      <w:ind w:firstLine="420" w:firstLineChars="200"/>
    </w:pPr>
    <w:rPr>
      <w:rFonts w:ascii="Calibri" w:hAnsi="Calibri"/>
      <w:sz w:val="21"/>
      <w:szCs w:val="22"/>
    </w:rPr>
  </w:style>
  <w:style w:type="character" w:customStyle="1" w:styleId="14">
    <w:name w:val="font51"/>
    <w:qFormat/>
    <w:uiPriority w:val="0"/>
    <w:rPr>
      <w:rFonts w:hint="eastAsia" w:ascii="仿宋" w:hAnsi="仿宋" w:eastAsia="仿宋" w:cs="仿宋"/>
      <w:color w:val="000000"/>
      <w:sz w:val="21"/>
      <w:szCs w:val="21"/>
      <w:u w:val="none"/>
    </w:rPr>
  </w:style>
  <w:style w:type="character" w:customStyle="1" w:styleId="15">
    <w:name w:val="font11"/>
    <w:qFormat/>
    <w:uiPriority w:val="0"/>
    <w:rPr>
      <w:rFonts w:hint="eastAsia" w:ascii="仿宋" w:hAnsi="仿宋" w:eastAsia="仿宋" w:cs="仿宋"/>
      <w:color w:val="000000"/>
      <w:sz w:val="21"/>
      <w:szCs w:val="21"/>
      <w:u w:val="non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样式 样式 样式 标题 1 + + 段前: 0.5 行 段后: 0.5 行 + 段前: 0.5 行 段后: 0.5 行"/>
    <w:basedOn w:val="19"/>
    <w:qFormat/>
    <w:uiPriority w:val="0"/>
    <w:pPr>
      <w:spacing w:before="120" w:after="120"/>
    </w:pPr>
    <w:rPr>
      <w:rFonts w:ascii="宋体" w:hAnsi="宋体"/>
      <w:szCs w:val="28"/>
    </w:rPr>
  </w:style>
  <w:style w:type="paragraph" w:customStyle="1" w:styleId="19">
    <w:name w:val="样式 样式 标题 1 + + 段前: 0.5 行 段后: 0.5 行"/>
    <w:basedOn w:val="20"/>
    <w:qFormat/>
    <w:uiPriority w:val="0"/>
    <w:rPr>
      <w:rFonts w:cs="宋体"/>
      <w:szCs w:val="20"/>
    </w:rPr>
  </w:style>
  <w:style w:type="paragraph" w:customStyle="1" w:styleId="20">
    <w:name w:val="样式 标题 1 +"/>
    <w:basedOn w:val="2"/>
    <w:qFormat/>
    <w:uiPriority w:val="0"/>
    <w:pPr>
      <w:spacing w:before="50" w:beforeLines="50" w:after="50" w:afterLines="50" w:line="360" w:lineRule="auto"/>
    </w:pPr>
    <w:rPr>
      <w:kern w:val="0"/>
      <w:sz w:val="28"/>
    </w:rPr>
  </w:style>
  <w:style w:type="character" w:customStyle="1" w:styleId="21">
    <w:name w:val="标题 1 Char"/>
    <w:link w:val="2"/>
    <w:qFormat/>
    <w:uiPriority w:val="0"/>
    <w:rPr>
      <w:rFonts w:asciiTheme="minorAscii" w:hAnsiTheme="minorAscii"/>
      <w:b/>
      <w:bCs/>
      <w:kern w:val="44"/>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2020-07-03T02:15:00Z</dcterms:created>
  <dc:creator>dell</dc:creator>
  <cp:lastModifiedBy>Administrator</cp:lastModifiedBy>
  <dcterms:modified xsi:type="dcterms:W3CDTF">2023-05-23T07:01:45Z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