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宋体" w:hAnsi="宋体" w:eastAsia="方正小标宋_GBK"/>
          <w:color w:val="auto"/>
          <w:sz w:val="44"/>
          <w:szCs w:val="44"/>
          <w:highlight w:val="none"/>
        </w:rPr>
      </w:pPr>
      <w:bookmarkStart w:id="0" w:name="_GoBack"/>
      <w:bookmarkEnd w:id="0"/>
    </w:p>
    <w:p>
      <w:pPr>
        <w:spacing w:line="700" w:lineRule="exact"/>
        <w:jc w:val="center"/>
        <w:rPr>
          <w:rFonts w:hint="eastAsia" w:ascii="宋体" w:hAnsi="宋体" w:eastAsia="方正小标宋_GBK"/>
          <w:color w:val="auto"/>
          <w:sz w:val="44"/>
          <w:szCs w:val="44"/>
          <w:highlight w:val="none"/>
        </w:rPr>
      </w:pPr>
    </w:p>
    <w:p>
      <w:pPr>
        <w:spacing w:line="700" w:lineRule="exact"/>
        <w:jc w:val="center"/>
        <w:rPr>
          <w:rFonts w:hint="eastAsia" w:ascii="宋体" w:hAnsi="宋体" w:eastAsia="方正小标宋_GBK"/>
          <w:color w:val="auto"/>
          <w:sz w:val="44"/>
          <w:szCs w:val="44"/>
          <w:highlight w:val="none"/>
          <w:lang w:eastAsia="zh-CN"/>
        </w:rPr>
      </w:pPr>
      <w:r>
        <w:rPr>
          <w:rFonts w:hint="eastAsia" w:ascii="宋体" w:hAnsi="宋体" w:eastAsia="方正小标宋_GBK"/>
          <w:color w:val="auto"/>
          <w:sz w:val="44"/>
          <w:szCs w:val="44"/>
          <w:highlight w:val="none"/>
        </w:rPr>
        <w:t>关于</w:t>
      </w:r>
      <w:r>
        <w:rPr>
          <w:rFonts w:hint="eastAsia" w:ascii="宋体" w:hAnsi="宋体" w:eastAsia="方正小标宋_GBK"/>
          <w:color w:val="auto"/>
          <w:sz w:val="44"/>
          <w:szCs w:val="44"/>
          <w:highlight w:val="none"/>
          <w:lang w:eastAsia="zh-CN"/>
        </w:rPr>
        <w:t>进一步优化营商环境的任务分工方案</w:t>
      </w:r>
    </w:p>
    <w:p>
      <w:pPr>
        <w:spacing w:beforeLines="0" w:afterLines="0" w:line="300" w:lineRule="exact"/>
        <w:ind w:firstLine="640" w:firstLineChars="200"/>
        <w:rPr>
          <w:rFonts w:hint="eastAsia" w:ascii="宋体" w:hAnsi="宋体" w:eastAsia="方正仿宋_GBK"/>
          <w:color w:val="auto"/>
          <w:sz w:val="32"/>
          <w:highlight w:val="none"/>
          <w:lang w:eastAsia="zh-CN"/>
        </w:rPr>
      </w:pP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仿宋_GBK"/>
          <w:color w:val="auto"/>
          <w:sz w:val="32"/>
          <w:highlight w:val="none"/>
          <w:lang w:eastAsia="zh-CN"/>
        </w:rPr>
      </w:pPr>
      <w:r>
        <w:rPr>
          <w:rFonts w:hint="eastAsia" w:ascii="宋体" w:hAnsi="宋体" w:eastAsia="方正仿宋_GBK"/>
          <w:color w:val="auto"/>
          <w:sz w:val="32"/>
          <w:highlight w:val="none"/>
          <w:lang w:eastAsia="zh-CN"/>
        </w:rPr>
        <w:t>为深入贯彻落实《中共云南省委办公厅</w:t>
      </w:r>
      <w:r>
        <w:rPr>
          <w:rFonts w:hint="eastAsia" w:ascii="宋体" w:hAnsi="宋体" w:eastAsia="方正仿宋_GBK"/>
          <w:color w:val="auto"/>
          <w:sz w:val="32"/>
          <w:highlight w:val="none"/>
          <w:lang w:val="en-US" w:eastAsia="zh-CN"/>
        </w:rPr>
        <w:t xml:space="preserve"> </w:t>
      </w:r>
      <w:r>
        <w:rPr>
          <w:rFonts w:hint="eastAsia" w:ascii="宋体" w:hAnsi="宋体" w:eastAsia="方正仿宋_GBK"/>
          <w:color w:val="auto"/>
          <w:sz w:val="32"/>
          <w:highlight w:val="none"/>
          <w:lang w:eastAsia="zh-CN"/>
        </w:rPr>
        <w:t>云南省人民政府办公厅印发</w:t>
      </w:r>
      <w:r>
        <w:rPr>
          <w:rFonts w:hint="eastAsia" w:ascii="宋体" w:hAnsi="宋体" w:eastAsia="仿宋" w:cs="仿宋"/>
          <w:color w:val="auto"/>
          <w:sz w:val="32"/>
          <w:highlight w:val="none"/>
          <w:lang w:eastAsia="zh-CN"/>
        </w:rPr>
        <w:t>&lt;</w:t>
      </w:r>
      <w:r>
        <w:rPr>
          <w:rFonts w:hint="eastAsia" w:ascii="宋体" w:hAnsi="宋体" w:eastAsia="方正仿宋_GBK"/>
          <w:color w:val="auto"/>
          <w:sz w:val="32"/>
          <w:highlight w:val="none"/>
          <w:lang w:eastAsia="zh-CN"/>
        </w:rPr>
        <w:t>关于进一步优化营商环境的若干意见</w:t>
      </w:r>
      <w:r>
        <w:rPr>
          <w:rFonts w:hint="eastAsia" w:ascii="宋体" w:hAnsi="宋体" w:eastAsia="仿宋" w:cs="仿宋"/>
          <w:color w:val="auto"/>
          <w:sz w:val="32"/>
          <w:highlight w:val="none"/>
          <w:lang w:eastAsia="zh-CN"/>
        </w:rPr>
        <w:t>&gt;&lt;</w:t>
      </w:r>
      <w:r>
        <w:rPr>
          <w:rFonts w:hint="eastAsia" w:ascii="宋体" w:hAnsi="宋体" w:eastAsia="方正仿宋_GBK"/>
          <w:color w:val="auto"/>
          <w:sz w:val="32"/>
          <w:highlight w:val="none"/>
          <w:lang w:eastAsia="zh-CN"/>
        </w:rPr>
        <w:t>云南省营商环境提升十大行动</w:t>
      </w:r>
      <w:r>
        <w:rPr>
          <w:rFonts w:hint="eastAsia" w:ascii="宋体" w:hAnsi="宋体" w:eastAsia="仿宋" w:cs="仿宋"/>
          <w:color w:val="auto"/>
          <w:sz w:val="32"/>
          <w:highlight w:val="none"/>
          <w:lang w:eastAsia="zh-CN"/>
        </w:rPr>
        <w:t>&gt;</w:t>
      </w:r>
      <w:r>
        <w:rPr>
          <w:rFonts w:hint="eastAsia" w:ascii="宋体" w:hAnsi="宋体" w:eastAsia="方正仿宋_GBK"/>
          <w:color w:val="auto"/>
          <w:sz w:val="32"/>
          <w:highlight w:val="none"/>
          <w:lang w:eastAsia="zh-CN"/>
        </w:rPr>
        <w:t>的通知》</w:t>
      </w:r>
      <w:r>
        <w:rPr>
          <w:rFonts w:hint="eastAsia" w:ascii="宋体" w:hAnsi="宋体" w:eastAsia="方正仿宋_GBK"/>
          <w:color w:val="auto"/>
          <w:sz w:val="32"/>
          <w:highlight w:val="none"/>
        </w:rPr>
        <w:t>（云</w:t>
      </w:r>
      <w:r>
        <w:rPr>
          <w:rFonts w:hint="eastAsia" w:ascii="宋体" w:hAnsi="宋体" w:eastAsia="方正仿宋_GBK"/>
          <w:color w:val="auto"/>
          <w:sz w:val="32"/>
          <w:highlight w:val="none"/>
          <w:lang w:eastAsia="zh-CN"/>
        </w:rPr>
        <w:t>办</w:t>
      </w:r>
      <w:r>
        <w:rPr>
          <w:rFonts w:hint="eastAsia" w:ascii="宋体" w:hAnsi="宋体" w:eastAsia="方正仿宋_GBK"/>
          <w:color w:val="auto"/>
          <w:sz w:val="32"/>
          <w:highlight w:val="none"/>
        </w:rPr>
        <w:t>发〔201</w:t>
      </w:r>
      <w:r>
        <w:rPr>
          <w:rFonts w:hint="eastAsia" w:ascii="宋体" w:hAnsi="宋体" w:eastAsia="方正仿宋_GBK"/>
          <w:color w:val="auto"/>
          <w:sz w:val="32"/>
          <w:highlight w:val="none"/>
          <w:lang w:val="en-US" w:eastAsia="zh-CN"/>
        </w:rPr>
        <w:t>9</w:t>
      </w:r>
      <w:r>
        <w:rPr>
          <w:rFonts w:hint="eastAsia" w:ascii="宋体" w:hAnsi="宋体" w:eastAsia="方正仿宋_GBK"/>
          <w:color w:val="auto"/>
          <w:sz w:val="32"/>
          <w:highlight w:val="none"/>
        </w:rPr>
        <w:t>〕</w:t>
      </w:r>
      <w:r>
        <w:rPr>
          <w:rFonts w:hint="eastAsia" w:ascii="宋体" w:hAnsi="宋体" w:eastAsia="方正仿宋_GBK"/>
          <w:color w:val="auto"/>
          <w:sz w:val="32"/>
          <w:highlight w:val="none"/>
          <w:lang w:val="en-US" w:eastAsia="zh-CN"/>
        </w:rPr>
        <w:t>20</w:t>
      </w:r>
      <w:r>
        <w:rPr>
          <w:rFonts w:hint="eastAsia" w:ascii="宋体" w:hAnsi="宋体" w:eastAsia="方正仿宋_GBK"/>
          <w:color w:val="auto"/>
          <w:sz w:val="32"/>
          <w:highlight w:val="none"/>
        </w:rPr>
        <w:t>号）</w:t>
      </w:r>
      <w:r>
        <w:rPr>
          <w:rFonts w:hint="eastAsia" w:ascii="宋体" w:hAnsi="宋体" w:eastAsia="方正仿宋_GBK"/>
          <w:color w:val="auto"/>
          <w:sz w:val="32"/>
          <w:highlight w:val="none"/>
          <w:lang w:eastAsia="zh-CN"/>
        </w:rPr>
        <w:t>精神，进一步推进交通运输领域“放管服”改革、优化营商环境，制定本任务分工方案。</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黑体_GBK" w:cs="方正黑体_GBK"/>
          <w:color w:val="auto"/>
          <w:sz w:val="32"/>
          <w:highlight w:val="none"/>
          <w:lang w:eastAsia="zh-CN"/>
        </w:rPr>
      </w:pPr>
      <w:r>
        <w:rPr>
          <w:rFonts w:hint="eastAsia" w:ascii="宋体" w:hAnsi="宋体" w:eastAsia="方正黑体_GBK" w:cs="方正黑体_GBK"/>
          <w:color w:val="auto"/>
          <w:sz w:val="32"/>
          <w:highlight w:val="none"/>
          <w:lang w:eastAsia="zh-CN"/>
        </w:rPr>
        <w:t>一、主要任务分工</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（一）进一步减少社会资本市场准入限制</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仿宋_GBK"/>
          <w:color w:val="auto"/>
          <w:sz w:val="32"/>
          <w:highlight w:val="none"/>
          <w:lang w:eastAsia="zh-CN"/>
        </w:rPr>
      </w:pPr>
      <w:r>
        <w:rPr>
          <w:rFonts w:hint="eastAsia" w:ascii="宋体" w:hAnsi="宋体" w:eastAsia="方正仿宋_GBK"/>
          <w:color w:val="auto"/>
          <w:sz w:val="32"/>
          <w:highlight w:val="none"/>
          <w:lang w:val="en-US" w:eastAsia="zh-CN"/>
        </w:rPr>
        <w:t>1.</w:t>
      </w:r>
      <w:r>
        <w:rPr>
          <w:rFonts w:hint="eastAsia" w:ascii="宋体" w:hAnsi="宋体" w:eastAsia="方正仿宋_GBK"/>
          <w:color w:val="auto"/>
          <w:sz w:val="32"/>
          <w:highlight w:val="none"/>
          <w:lang w:eastAsia="zh-CN"/>
        </w:rPr>
        <w:t>严格执行全国统一的市场准入负面清单制度，配合有关部门建立动态调整机制和全国统一的清单代码体系，实现负面清单事项网上公开查询。</w:t>
      </w:r>
      <w:r>
        <w:rPr>
          <w:rFonts w:hint="eastAsia" w:ascii="宋体" w:hAnsi="宋体" w:eastAsia="方正楷体_GBK" w:cs="方正楷体_GBK"/>
          <w:color w:val="auto"/>
          <w:sz w:val="32"/>
          <w:highlight w:val="none"/>
          <w:lang w:eastAsia="zh-CN"/>
        </w:rPr>
        <w:t>（牵头处室：厅政研室、</w:t>
      </w:r>
      <w:r>
        <w:rPr>
          <w:rFonts w:hint="eastAsia" w:ascii="宋体" w:hAnsi="宋体" w:eastAsia="方正楷体_GBK" w:cs="方正楷体_GBK"/>
          <w:color w:val="auto"/>
          <w:sz w:val="32"/>
          <w:highlight w:val="none"/>
          <w:lang w:val="en-US" w:eastAsia="zh-CN"/>
        </w:rPr>
        <w:t xml:space="preserve"> 建设处、</w:t>
      </w:r>
      <w:r>
        <w:rPr>
          <w:rFonts w:hint="eastAsia" w:ascii="宋体" w:hAnsi="宋体" w:eastAsia="方正楷体_GBK" w:cs="方正楷体_GBK"/>
          <w:color w:val="auto"/>
          <w:sz w:val="32"/>
          <w:highlight w:val="none"/>
          <w:lang w:eastAsia="zh-CN"/>
        </w:rPr>
        <w:t>规划处、审批处、办公室、信息中心，责任处室和单位：厅机关有关处室、厅属有关单位）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仿宋_GBK"/>
          <w:color w:val="auto"/>
          <w:sz w:val="32"/>
          <w:highlight w:val="none"/>
          <w:lang w:eastAsia="zh-CN"/>
        </w:rPr>
      </w:pPr>
      <w:r>
        <w:rPr>
          <w:rFonts w:hint="eastAsia" w:ascii="宋体" w:hAnsi="宋体" w:eastAsia="方正仿宋_GBK"/>
          <w:color w:val="auto"/>
          <w:sz w:val="32"/>
          <w:highlight w:val="none"/>
          <w:lang w:val="en-US" w:eastAsia="zh-CN"/>
        </w:rPr>
        <w:t>2.</w:t>
      </w:r>
      <w:r>
        <w:rPr>
          <w:rFonts w:hint="eastAsia" w:ascii="宋体" w:hAnsi="宋体" w:eastAsia="方正仿宋_GBK"/>
          <w:color w:val="auto"/>
          <w:sz w:val="32"/>
          <w:highlight w:val="none"/>
          <w:lang w:eastAsia="zh-CN"/>
        </w:rPr>
        <w:t>规范有序加快推进政府和社会资本合作（</w:t>
      </w:r>
      <w:r>
        <w:rPr>
          <w:rFonts w:hint="eastAsia" w:ascii="宋体" w:hAnsi="宋体" w:eastAsia="方正仿宋_GBK"/>
          <w:color w:val="auto"/>
          <w:sz w:val="32"/>
          <w:highlight w:val="none"/>
          <w:lang w:val="en-US" w:eastAsia="zh-CN"/>
        </w:rPr>
        <w:t>PPP</w:t>
      </w:r>
      <w:r>
        <w:rPr>
          <w:rFonts w:hint="eastAsia" w:ascii="宋体" w:hAnsi="宋体" w:eastAsia="方正仿宋_GBK"/>
          <w:color w:val="auto"/>
          <w:sz w:val="32"/>
          <w:highlight w:val="none"/>
          <w:lang w:eastAsia="zh-CN"/>
        </w:rPr>
        <w:t>）项目建设，建立能进能出动态管理机制，消除在政府采购和工程招标过程中对不同市场主体设置的各类不合理限制和壁垒。</w:t>
      </w:r>
      <w:r>
        <w:rPr>
          <w:rFonts w:hint="eastAsia" w:ascii="宋体" w:hAnsi="宋体" w:eastAsia="方正楷体_GBK" w:cs="方正楷体_GBK"/>
          <w:color w:val="auto"/>
          <w:sz w:val="32"/>
          <w:highlight w:val="none"/>
          <w:lang w:eastAsia="zh-CN"/>
        </w:rPr>
        <w:t>（牵头处室：厅财审处、建设处，责任处室和单位：厅机关有关处室、厅属有关单位）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（二）清理地方保护和行政垄断行为</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s="方正仿宋_GBK"/>
          <w:color w:val="auto"/>
          <w:sz w:val="32"/>
          <w:highlight w:val="none"/>
          <w:lang w:eastAsia="zh-CN"/>
        </w:rPr>
        <w:t>认真落实公平竞争审查制度，清理废止妨碍统一市场和公平竞争政策文件，自查执行公平竞争审查制度情况并向社会公示。</w:t>
      </w:r>
      <w:r>
        <w:rPr>
          <w:rFonts w:hint="eastAsia" w:ascii="宋体" w:hAnsi="宋体" w:eastAsia="方正楷体_GBK" w:cs="方正楷体_GBK"/>
          <w:color w:val="auto"/>
          <w:sz w:val="32"/>
          <w:highlight w:val="none"/>
          <w:lang w:eastAsia="zh-CN"/>
        </w:rPr>
        <w:t>（牵头处室：厅法制处、办公室，责任处室和单位：厅机关有关处室、厅属有关单位）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（三）加强诚信政府建设</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eastAsia="zh-CN"/>
        </w:rPr>
        <w:t>建立健全以信用承诺和信息公示为特点的新型监管机制，不断提升政府诚信行政水平和公务员诚信履职意识。将政府诚信建设作为一项重要权重指标，纳入厅考评体系。</w:t>
      </w:r>
      <w:r>
        <w:rPr>
          <w:rFonts w:hint="eastAsia" w:ascii="宋体" w:hAnsi="宋体" w:eastAsia="方正楷体_GBK" w:cs="方正楷体_GBK"/>
          <w:color w:val="auto"/>
          <w:sz w:val="32"/>
          <w:highlight w:val="none"/>
          <w:lang w:eastAsia="zh-CN"/>
        </w:rPr>
        <w:t>（牵头处室：厅法制处、直属机关党委（组织人事处）、办公室、信息中心，责任处室和单位：厅机关有关处室、厅属各单位）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（四）进一步简化企业投资审批</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eastAsia="zh-CN"/>
        </w:rPr>
        <w:t>优化投资项目审批流程，开展交通系统工程建设项目审批制度改革，实现“一张蓝图”统筹项目实施、“一个系统”实施统一管理、“一个窗口”提供综合服务、“一张表单”整合申报材料、“一套机制”规范审批运行。</w:t>
      </w:r>
      <w:r>
        <w:rPr>
          <w:rFonts w:hint="eastAsia" w:ascii="宋体" w:hAnsi="宋体" w:eastAsia="方正楷体_GBK" w:cs="方正楷体_GBK"/>
          <w:color w:val="auto"/>
          <w:sz w:val="32"/>
          <w:highlight w:val="none"/>
          <w:lang w:eastAsia="zh-CN"/>
        </w:rPr>
        <w:t>（牵头处室：厅审批处、规划处，责任处室和单位：厅机关有关处室、厅属有关单位）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（五）进一步压减行政许可事项</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仿宋_GBK"/>
          <w:color w:val="auto"/>
          <w:sz w:val="32"/>
          <w:highlight w:val="none"/>
          <w:lang w:eastAsia="zh-CN"/>
        </w:rPr>
      </w:pPr>
      <w:r>
        <w:rPr>
          <w:rFonts w:hint="eastAsia" w:ascii="宋体" w:hAnsi="宋体" w:eastAsia="方正仿宋_GBK"/>
          <w:color w:val="auto"/>
          <w:sz w:val="32"/>
          <w:highlight w:val="none"/>
          <w:lang w:eastAsia="zh-CN"/>
        </w:rPr>
        <w:t>对现有行政许可事项逐一深入论证，除关系国家安全和重大公共利益等项目外，能取消的坚决取消，能下放的尽快下放，市场机制能有效调节的经济活动不再保留行政许可。清理各类变相审批，严厉整治以备案、登记、注册、目录、年检、监制、认定、认证、专项计划等形式变相设置审批的违规行为。</w:t>
      </w:r>
      <w:r>
        <w:rPr>
          <w:rFonts w:hint="eastAsia" w:ascii="宋体" w:hAnsi="宋体" w:eastAsia="方正楷体_GBK" w:cs="方正楷体_GBK"/>
          <w:color w:val="auto"/>
          <w:sz w:val="32"/>
          <w:highlight w:val="none"/>
          <w:lang w:eastAsia="zh-CN"/>
        </w:rPr>
        <w:t>（牵头处室：厅办公室、直属机关党委（组织人事处）、审批处，责任处室和单位：厅机关有关处室、厅属有关单位）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（六）加快制定政务服务事项清单和推进政务服务标准化</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eastAsia="zh-CN"/>
        </w:rPr>
        <w:t>统一政务服务事项办理标准，制定统一的政务服务事项办理指南和业务手册。结合与企业生产经营密切相关的政务服务事项，以企业办好“一件事”为标准，梳理编制投资项目审批、工程项目建设审批等主题办事目录清单，全链条优化关联事项办理流程。</w:t>
      </w:r>
      <w:r>
        <w:rPr>
          <w:rFonts w:hint="eastAsia" w:ascii="宋体" w:hAnsi="宋体" w:eastAsia="方正楷体_GBK" w:cs="方正楷体_GBK"/>
          <w:color w:val="auto"/>
          <w:sz w:val="32"/>
          <w:highlight w:val="none"/>
          <w:lang w:eastAsia="zh-CN"/>
        </w:rPr>
        <w:t>（牵头处室：厅办公室、直属机关党委（组织人事处）、审批处、规划处、信息中心，责任处室和单位：厅机关有关处室、厅属有关单位）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（七）加快推动推动实现全省政务服务事项“一网通办”</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eastAsia="zh-CN"/>
        </w:rPr>
        <w:t>配合推进全省网上政务服务平台规范化、标准化、集约化建设，除法律法规另有规定或涉及国家安全、秘密等外，政务服务事项全部纳入全省平台运行和管理，推动实现“一网通办”“异地可办”。建立政务服务“好差评”制度，服务绩效由企业和群众来评判。</w:t>
      </w:r>
      <w:r>
        <w:rPr>
          <w:rFonts w:hint="eastAsia" w:ascii="宋体" w:hAnsi="宋体" w:eastAsia="方正楷体_GBK" w:cs="方正楷体_GBK"/>
          <w:color w:val="auto"/>
          <w:sz w:val="32"/>
          <w:highlight w:val="none"/>
          <w:lang w:eastAsia="zh-CN"/>
        </w:rPr>
        <w:t>（牵头处室：厅审批处、信息中心，责任处室：厅机关有关处室、厅属有关单位）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（八）深入推进“一部手机办事通”建设</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eastAsia="zh-CN"/>
        </w:rPr>
        <w:t>积极配合推进“一部手机办事通”建设，</w:t>
      </w:r>
      <w:r>
        <w:rPr>
          <w:rFonts w:hint="eastAsia" w:ascii="宋体" w:hAnsi="宋体" w:eastAsia="方正仿宋_GBK"/>
          <w:color w:val="auto"/>
          <w:sz w:val="32"/>
          <w:highlight w:val="none"/>
          <w:lang w:val="en-US" w:eastAsia="zh-CN"/>
        </w:rPr>
        <w:t>编制交通运输政务服务数据目录清单，推动政务服务数据标准化管理，</w:t>
      </w:r>
      <w:r>
        <w:rPr>
          <w:rFonts w:hint="eastAsia" w:ascii="宋体" w:hAnsi="宋体" w:eastAsia="方正仿宋_GBK"/>
          <w:color w:val="auto"/>
          <w:sz w:val="32"/>
          <w:highlight w:val="none"/>
          <w:lang w:eastAsia="zh-CN"/>
        </w:rPr>
        <w:t>提升公共服务数字化供给能力，围绕市场主体全生命周期，推动实现更多交通运输领域政务服务事项“掌上办”“指尖办”</w:t>
      </w:r>
      <w:r>
        <w:rPr>
          <w:rFonts w:hint="eastAsia" w:ascii="宋体" w:hAnsi="宋体" w:eastAsia="方正仿宋_GBK"/>
          <w:color w:val="auto"/>
          <w:sz w:val="32"/>
          <w:highlight w:val="none"/>
          <w:lang w:val="en-US" w:eastAsia="zh-CN"/>
        </w:rPr>
        <w:t>，按时限完成部门政务服务事项上线。</w:t>
      </w:r>
      <w:r>
        <w:rPr>
          <w:rFonts w:hint="eastAsia" w:ascii="宋体" w:hAnsi="宋体" w:eastAsia="方正楷体_GBK" w:cs="方正楷体_GBK"/>
          <w:color w:val="auto"/>
          <w:sz w:val="32"/>
          <w:highlight w:val="none"/>
          <w:lang w:eastAsia="zh-CN"/>
        </w:rPr>
        <w:t>（牵头处室：厅办公室、信息中心，责任处室：厅机关有关处室、厅属有关单位）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（九）清理物流、认证、检验检测、公用事业等领域经营服务性收费</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val="en-US" w:eastAsia="zh-CN"/>
        </w:rPr>
        <w:t>1.</w:t>
      </w:r>
      <w:r>
        <w:rPr>
          <w:rFonts w:hint="eastAsia" w:ascii="宋体" w:hAnsi="宋体" w:eastAsia="方正仿宋_GBK"/>
          <w:color w:val="auto"/>
          <w:sz w:val="32"/>
          <w:highlight w:val="none"/>
          <w:lang w:eastAsia="zh-CN"/>
        </w:rPr>
        <w:t>深化收费公路制度改革，做好取消省界收费站工作；贯彻落实差异化收费政策，推动降低过路费用。</w:t>
      </w:r>
      <w:r>
        <w:rPr>
          <w:rFonts w:hint="eastAsia" w:ascii="宋体" w:hAnsi="宋体" w:eastAsia="方正楷体_GBK" w:cs="方正楷体_GBK"/>
          <w:color w:val="auto"/>
          <w:sz w:val="32"/>
          <w:highlight w:val="none"/>
          <w:lang w:eastAsia="zh-CN"/>
        </w:rPr>
        <w:t>（牵头处室：厅规费办）</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val="en-US" w:eastAsia="zh-CN"/>
        </w:rPr>
        <w:t>2.</w:t>
      </w:r>
      <w:r>
        <w:rPr>
          <w:rFonts w:hint="eastAsia" w:ascii="宋体" w:hAnsi="宋体" w:eastAsia="方正仿宋_GBK"/>
          <w:color w:val="auto"/>
          <w:sz w:val="32"/>
          <w:highlight w:val="none"/>
          <w:lang w:eastAsia="zh-CN"/>
        </w:rPr>
        <w:t>治理对客货车辆不合理审批和乱收费、乱罚款，贯彻落实货车安全技术检验、综合性能检验和尾气排放检验“三检合一”等政策，全面实现“一次上线、一次检测、一次收费”开展普通货运车辆异地综合性能检测，实现就近检测。加大对认证机构监管力度，督促合理收费，提升认证、检测“一站式”“一体化”服务能力。</w:t>
      </w:r>
      <w:r>
        <w:rPr>
          <w:rFonts w:hint="eastAsia" w:ascii="宋体" w:hAnsi="宋体" w:eastAsia="方正楷体_GBK" w:cs="方正楷体_GBK"/>
          <w:color w:val="auto"/>
          <w:sz w:val="32"/>
          <w:highlight w:val="none"/>
          <w:lang w:eastAsia="zh-CN"/>
        </w:rPr>
        <w:t>（牵头处室：厅运输处，责任单位：省运管局）</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仿宋_GBK"/>
          <w:color w:val="auto"/>
          <w:sz w:val="32"/>
          <w:highlight w:val="none"/>
          <w:lang w:eastAsia="zh-CN"/>
        </w:rPr>
      </w:pPr>
      <w:r>
        <w:rPr>
          <w:rFonts w:hint="eastAsia" w:ascii="宋体" w:hAnsi="宋体" w:eastAsia="方正仿宋_GBK"/>
          <w:color w:val="auto"/>
          <w:sz w:val="32"/>
          <w:highlight w:val="none"/>
          <w:lang w:val="en-US" w:eastAsia="zh-CN"/>
        </w:rPr>
        <w:t>3.</w:t>
      </w:r>
      <w:r>
        <w:rPr>
          <w:rFonts w:hint="eastAsia" w:ascii="宋体" w:hAnsi="宋体" w:eastAsia="方正仿宋_GBK"/>
          <w:color w:val="auto"/>
          <w:sz w:val="32"/>
          <w:highlight w:val="none"/>
          <w:lang w:eastAsia="zh-CN"/>
        </w:rPr>
        <w:t>开展交通运输行政处罚、行政检查和涉企经营服务性收费自查和清理工作，形成清单并公示。</w:t>
      </w:r>
      <w:r>
        <w:rPr>
          <w:rFonts w:hint="eastAsia" w:ascii="宋体" w:hAnsi="宋体" w:eastAsia="方正楷体_GBK" w:cs="方正楷体_GBK"/>
          <w:color w:val="auto"/>
          <w:sz w:val="32"/>
          <w:highlight w:val="none"/>
          <w:lang w:eastAsia="zh-CN"/>
        </w:rPr>
        <w:t>（牵头处室：厅财审处，责任处室和单位：厅机关有关处室、厅属有关单位）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（十）降低涉企保证金和社保费率，减轻企业负担</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eastAsia="zh-CN"/>
        </w:rPr>
        <w:t>贯彻落实好国家、省出台的进一步降低企业税负政策措施，加快清理取消的保证金清退进度，严格执行国家及我省公布保留的涉企保证金目录清单，禁止非法新设立保证金项目。加快推进在交通运输领域开展综合保险工作，降低工程风险和企业交易成本。</w:t>
      </w:r>
      <w:r>
        <w:rPr>
          <w:rFonts w:hint="eastAsia" w:ascii="宋体" w:hAnsi="宋体" w:eastAsia="方正楷体_GBK" w:cs="方正楷体_GBK"/>
          <w:color w:val="auto"/>
          <w:sz w:val="32"/>
          <w:highlight w:val="none"/>
          <w:lang w:eastAsia="zh-CN"/>
        </w:rPr>
        <w:t>（牵头处室：厅建设处、直属机关党委（组织人事处），责任单位：厅属有关单位）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（十一）创新市场监管方式</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eastAsia="zh-CN"/>
        </w:rPr>
        <w:t>创新事中事后监管方式，在依法监管的基础上，积极推行“双随机、一公开”监管、协同监管、信用监管、大数据监管、“告知承诺</w:t>
      </w:r>
      <w:r>
        <w:rPr>
          <w:rFonts w:hint="eastAsia" w:ascii="宋体" w:hAnsi="宋体" w:eastAsia="方正仿宋_GBK"/>
          <w:color w:val="auto"/>
          <w:sz w:val="32"/>
          <w:highlight w:val="none"/>
          <w:lang w:val="en-US" w:eastAsia="zh-CN"/>
        </w:rPr>
        <w:t>+事中事后监管</w:t>
      </w:r>
      <w:r>
        <w:rPr>
          <w:rFonts w:hint="eastAsia" w:ascii="宋体" w:hAnsi="宋体" w:eastAsia="方正仿宋_GBK"/>
          <w:color w:val="auto"/>
          <w:sz w:val="32"/>
          <w:highlight w:val="none"/>
          <w:lang w:eastAsia="zh-CN"/>
        </w:rPr>
        <w:t>”、包容审慎监管等新型监管方式，提高监管效率，切实减少对企业的干扰。严格控制重点检查事项数量和一般检查事项抽查比例。</w:t>
      </w:r>
      <w:r>
        <w:rPr>
          <w:rFonts w:hint="eastAsia" w:ascii="宋体" w:hAnsi="宋体" w:eastAsia="方正楷体_GBK" w:cs="方正楷体_GBK"/>
          <w:color w:val="auto"/>
          <w:sz w:val="32"/>
          <w:highlight w:val="none"/>
          <w:lang w:eastAsia="zh-CN"/>
        </w:rPr>
        <w:t>（牵头处室：厅审批处、法制处，责任处室和单位：厅机关有关处室、厅属有关单位）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（十二）坚决纠正“一刀切”式执法，规范自由裁量权</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eastAsia="zh-CN"/>
        </w:rPr>
        <w:t>依法精简行政处罚事项，规范执法自由裁量权，细化、量化行政处罚标准，防止执法随意、标准不一等现象。按照规定将办案经费纳入预算管理，禁止将罚没收入与行政执法机关利益挂钩，对违规行为进行整改和问责。</w:t>
      </w:r>
      <w:r>
        <w:rPr>
          <w:rFonts w:hint="eastAsia" w:ascii="宋体" w:hAnsi="宋体" w:eastAsia="方正楷体_GBK" w:cs="方正楷体_GBK"/>
          <w:color w:val="auto"/>
          <w:sz w:val="32"/>
          <w:highlight w:val="none"/>
          <w:lang w:eastAsia="zh-CN"/>
        </w:rPr>
        <w:t>（牵头处室：厅法制处，责任处室和单位：厅机关有关处室、厅属有关单位）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（十三）降低进出口环节合规成本和推进通关便利化</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val="en-US" w:eastAsia="zh-CN"/>
        </w:rPr>
        <w:t>1.</w:t>
      </w:r>
      <w:r>
        <w:rPr>
          <w:rFonts w:hint="eastAsia" w:ascii="宋体" w:hAnsi="宋体" w:eastAsia="方正仿宋_GBK"/>
          <w:color w:val="auto"/>
          <w:sz w:val="32"/>
          <w:highlight w:val="none"/>
          <w:lang w:eastAsia="zh-CN"/>
        </w:rPr>
        <w:t>严格执行行政事业性收费清单管理制度，推动降低货代、船代、港口服务等环节经营服务性收费。</w:t>
      </w:r>
      <w:r>
        <w:rPr>
          <w:rFonts w:hint="eastAsia" w:ascii="宋体" w:hAnsi="宋体" w:eastAsia="方正楷体_GBK" w:cs="方正楷体_GBK"/>
          <w:color w:val="auto"/>
          <w:sz w:val="32"/>
          <w:highlight w:val="none"/>
          <w:lang w:eastAsia="zh-CN"/>
        </w:rPr>
        <w:t>（牵头处室：厅财审处，责任处室和单位：厅运输处，省运管局、航务局）</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val="en-US" w:eastAsia="zh-CN"/>
        </w:rPr>
        <w:t>2.</w:t>
      </w:r>
      <w:r>
        <w:rPr>
          <w:rFonts w:hint="eastAsia" w:ascii="宋体" w:hAnsi="宋体" w:eastAsia="方正仿宋_GBK"/>
          <w:color w:val="auto"/>
          <w:sz w:val="32"/>
          <w:highlight w:val="none"/>
          <w:lang w:eastAsia="zh-CN"/>
        </w:rPr>
        <w:t>进一步提升跨境运输便利化水平</w:t>
      </w:r>
      <w:r>
        <w:rPr>
          <w:rFonts w:hint="eastAsia" w:ascii="宋体" w:hAnsi="宋体" w:eastAsia="方正仿宋_GBK"/>
          <w:color w:val="auto"/>
          <w:sz w:val="32"/>
          <w:highlight w:val="none"/>
          <w:lang w:val="en-US" w:eastAsia="zh-CN"/>
        </w:rPr>
        <w:t>。通过减少收费项目、降低收费标准、提高服务效率，持续降低进出口环节合规成本。</w:t>
      </w:r>
      <w:r>
        <w:rPr>
          <w:rFonts w:hint="eastAsia" w:ascii="宋体" w:hAnsi="宋体" w:eastAsia="方正楷体_GBK" w:cs="方正楷体_GBK"/>
          <w:color w:val="auto"/>
          <w:sz w:val="32"/>
          <w:highlight w:val="none"/>
          <w:lang w:eastAsia="zh-CN"/>
        </w:rPr>
        <w:t>（牵头处室：厅运输处，责任单位：省运管局）</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val="en-US" w:eastAsia="zh-CN"/>
        </w:rPr>
        <w:t>3.</w:t>
      </w:r>
      <w:r>
        <w:rPr>
          <w:rFonts w:hint="eastAsia" w:ascii="宋体" w:hAnsi="宋体" w:eastAsia="方正仿宋_GBK"/>
          <w:color w:val="auto"/>
          <w:sz w:val="32"/>
          <w:highlight w:val="none"/>
          <w:lang w:eastAsia="zh-CN"/>
        </w:rPr>
        <w:t>落实鲜活农产品运输绿色通道政策，符合条件的免收车辆通行费。</w:t>
      </w:r>
      <w:r>
        <w:rPr>
          <w:rFonts w:hint="eastAsia" w:ascii="宋体" w:hAnsi="宋体" w:eastAsia="方正楷体_GBK" w:cs="方正楷体_GBK"/>
          <w:color w:val="auto"/>
          <w:sz w:val="32"/>
          <w:highlight w:val="none"/>
          <w:lang w:eastAsia="zh-CN"/>
        </w:rPr>
        <w:t>（责任处室：厅规费办）</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eastAsia="zh-CN"/>
        </w:rPr>
        <w:t>（十四）</w:t>
      </w:r>
      <w:r>
        <w:rPr>
          <w:rFonts w:hint="eastAsia" w:ascii="宋体" w:hAnsi="宋体" w:eastAsia="方正楷体_GBK" w:cs="方正楷体_GBK"/>
          <w:color w:val="auto"/>
          <w:sz w:val="32"/>
          <w:highlight w:val="none"/>
          <w:lang w:val="en-US" w:eastAsia="zh-CN"/>
        </w:rPr>
        <w:t>完善权力清单</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仿宋_GBK"/>
          <w:color w:val="auto"/>
          <w:sz w:val="32"/>
          <w:highlight w:val="none"/>
          <w:lang w:val="en-US" w:eastAsia="zh-CN"/>
        </w:rPr>
      </w:pPr>
      <w:r>
        <w:rPr>
          <w:rFonts w:hint="eastAsia" w:ascii="宋体" w:hAnsi="宋体" w:eastAsia="方正仿宋_GBK"/>
          <w:color w:val="auto"/>
          <w:sz w:val="32"/>
          <w:highlight w:val="none"/>
          <w:lang w:val="en-US" w:eastAsia="zh-CN"/>
        </w:rPr>
        <w:t>进一步精简事项、减少申报材料，制定行政权力运行流程图，完善行政权力清单。</w:t>
      </w:r>
      <w:r>
        <w:rPr>
          <w:rFonts w:hint="eastAsia" w:ascii="宋体" w:hAnsi="宋体" w:eastAsia="方正楷体_GBK" w:cs="方正楷体_GBK"/>
          <w:color w:val="auto"/>
          <w:sz w:val="32"/>
          <w:highlight w:val="none"/>
          <w:lang w:val="en-US" w:eastAsia="zh-CN"/>
        </w:rPr>
        <w:t>（牵头处室：厅办公室、直属机关党委（组织人事处），责任处室：厅机关有关处室、厅属有关单位）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val="en-US" w:eastAsia="zh-CN"/>
        </w:rPr>
        <w:t>（十五）完善责任清单</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仿宋_GBK"/>
          <w:color w:val="auto"/>
          <w:sz w:val="32"/>
          <w:highlight w:val="none"/>
          <w:lang w:val="en-US" w:eastAsia="zh-CN"/>
        </w:rPr>
        <w:t>以清单形式公布各项行政职权及其依据、行使主体、运行流程、对应责任等，并及时进行动态调整，进一步完善政府责任清单。</w:t>
      </w:r>
      <w:r>
        <w:rPr>
          <w:rFonts w:hint="eastAsia" w:ascii="宋体" w:hAnsi="宋体" w:eastAsia="方正楷体_GBK" w:cs="方正楷体_GBK"/>
          <w:color w:val="auto"/>
          <w:sz w:val="32"/>
          <w:highlight w:val="none"/>
          <w:lang w:val="en-US" w:eastAsia="zh-CN"/>
        </w:rPr>
        <w:t>（牵头处室：厅办公室、直属机关党委（组织人事处），责任处室：厅机关有关处室、厅属有关单位）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val="en-US" w:eastAsia="zh-CN"/>
        </w:rPr>
        <w:t>（十六）建立政策清单</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仿宋_GBK"/>
          <w:color w:val="auto"/>
          <w:sz w:val="32"/>
          <w:highlight w:val="none"/>
          <w:lang w:val="en-US" w:eastAsia="zh-CN"/>
        </w:rPr>
        <w:t>进一步梳理国家和我省出台的涉及交通运输领域各项优化营商环境政策措施，并以清单形式对外公布。对涉及交通运输领域的地方性法规、政府规章及其他规范性文件进行全面梳理，及时修订完善或废止与现行政策不符的规定。强化已有政策的落实，有针对性地研究制定有关政策措施和具体办法，补齐短板。</w:t>
      </w:r>
      <w:r>
        <w:rPr>
          <w:rFonts w:hint="eastAsia" w:ascii="宋体" w:hAnsi="宋体" w:eastAsia="方正楷体_GBK" w:cs="方正楷体_GBK"/>
          <w:color w:val="auto"/>
          <w:sz w:val="32"/>
          <w:highlight w:val="none"/>
          <w:lang w:val="en-US" w:eastAsia="zh-CN"/>
        </w:rPr>
        <w:t>（牵头处室：厅政研室，责任处室：厅机关有关处室、厅属有关单位）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val="en-US" w:eastAsia="zh-CN"/>
        </w:rPr>
        <w:t>（十七）“项目审批时间再砍一半”提升行动</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仿宋_GBK"/>
          <w:color w:val="auto"/>
          <w:sz w:val="32"/>
          <w:highlight w:val="none"/>
          <w:lang w:val="en-US" w:eastAsia="zh-CN"/>
        </w:rPr>
        <w:t>按照国家部署积极推行投资项目审批告知承诺制和工程建设项目审批制度改革，制定公布有关交通运输建设项目审批服务事项清单，采取“一张表单”整合申报材料，2019年将项目从审批核准（备案）到竣工验收全流程审批时间压缩到120个工作日内。</w:t>
      </w:r>
      <w:r>
        <w:rPr>
          <w:rFonts w:hint="eastAsia" w:ascii="宋体" w:hAnsi="宋体" w:eastAsia="方正楷体_GBK" w:cs="方正楷体_GBK"/>
          <w:color w:val="auto"/>
          <w:sz w:val="32"/>
          <w:highlight w:val="none"/>
          <w:lang w:val="en-US" w:eastAsia="zh-CN"/>
        </w:rPr>
        <w:t>（牵头处室：厅审批处，责任处室：厅机关有关处室、厅属有关单位）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val="en-US" w:eastAsia="zh-CN"/>
        </w:rPr>
        <w:t>（十八）“企业和群众办事力争只进一扇门”提升行动</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仿宋_GBK"/>
          <w:color w:val="auto"/>
          <w:sz w:val="32"/>
          <w:highlight w:val="none"/>
          <w:lang w:val="en-US" w:eastAsia="zh-CN"/>
        </w:rPr>
        <w:t>督促各地交通运输主管部门配合完善政务服务实体大厅“一站式”服务功能，推动直接面向企业和群众、依申请办理的行政权力和公共服务事项（包括垂直管理部门事项）集中办理。加快线上线下服务融合，统筹整合实体大厅、网上政务服务平台、移动终端、自助终端等服务渠道数据。加快推进“一颗印章管审批”。（</w:t>
      </w:r>
      <w:r>
        <w:rPr>
          <w:rFonts w:hint="eastAsia" w:ascii="宋体" w:hAnsi="宋体" w:eastAsia="方正楷体_GBK" w:cs="方正楷体_GBK"/>
          <w:color w:val="auto"/>
          <w:sz w:val="32"/>
          <w:highlight w:val="none"/>
          <w:lang w:val="en-US" w:eastAsia="zh-CN"/>
        </w:rPr>
        <w:t>牵头处室：厅审批处、信息中心，责任处室和单位：厅机关有关处室、厅属有关单位）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val="en-US" w:eastAsia="zh-CN"/>
        </w:rPr>
        <w:t>（十九）“最多跑一次”提升行动</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仿宋_GBK"/>
          <w:color w:val="auto"/>
          <w:sz w:val="32"/>
          <w:highlight w:val="none"/>
          <w:lang w:val="en-US" w:eastAsia="zh-CN"/>
        </w:rPr>
      </w:pPr>
      <w:r>
        <w:rPr>
          <w:rFonts w:hint="eastAsia" w:ascii="宋体" w:hAnsi="宋体" w:eastAsia="方正仿宋_GBK"/>
          <w:color w:val="auto"/>
          <w:sz w:val="32"/>
          <w:highlight w:val="none"/>
          <w:lang w:val="en-US" w:eastAsia="zh-CN"/>
        </w:rPr>
        <w:t>从事项标准化、审批规范化、材料精简化入手，全面扩大“最多跑一次”和“马上办”清单范围，力争让群众和企业必须到现场办理的事项“最多跑一次”，简单事项实行“马上办”。</w:t>
      </w:r>
      <w:r>
        <w:rPr>
          <w:rFonts w:hint="eastAsia" w:ascii="宋体" w:hAnsi="宋体" w:eastAsia="方正楷体_GBK" w:cs="方正楷体_GBK"/>
          <w:color w:val="auto"/>
          <w:sz w:val="32"/>
          <w:highlight w:val="none"/>
          <w:lang w:val="en-US" w:eastAsia="zh-CN"/>
        </w:rPr>
        <w:t>（牵头处室：厅审批处，责任处室和单位：厅机关有关处室、厅属有关单位）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val="en-US" w:eastAsia="zh-CN"/>
        </w:rPr>
        <w:t>（二十）“凡是没有法律法规依据的证明一律取消”提升行动</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仿宋_GBK"/>
          <w:color w:val="auto"/>
          <w:sz w:val="32"/>
          <w:highlight w:val="none"/>
          <w:lang w:val="en-US" w:eastAsia="zh-CN"/>
        </w:rPr>
        <w:t>凡是政府部门可通过与其他部门信息共享获得有关信息，不得要求企业和群众提供证明材料。凡是政府部门在办理企业和群众有关事项中采集掌握的涉及当事人的数据必须向本人或企业委托人开放。本人或委托人通过政府网站查询到的自身信息，应当作为受理依据。</w:t>
      </w:r>
      <w:r>
        <w:rPr>
          <w:rFonts w:hint="eastAsia" w:ascii="宋体" w:hAnsi="宋体" w:eastAsia="方正楷体_GBK" w:cs="方正楷体_GBK"/>
          <w:color w:val="auto"/>
          <w:sz w:val="32"/>
          <w:highlight w:val="none"/>
          <w:lang w:val="en-US" w:eastAsia="zh-CN"/>
        </w:rPr>
        <w:t>（责任处室和单位：厅机关有关处室、厅属有关单位）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val="en-US" w:eastAsia="zh-CN"/>
        </w:rPr>
        <w:t>（二十一）平等参与政府投资项目建设</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仿宋_GBK"/>
          <w:color w:val="auto"/>
          <w:sz w:val="32"/>
          <w:highlight w:val="none"/>
          <w:lang w:val="en-US" w:eastAsia="zh-CN"/>
        </w:rPr>
        <w:t>进一步打破垄断，开放公共服务领域，坚持公开竞争性选择社会资本，保障各类社会资本平等参与。在公路、铁路、水路民航等领域推出一批补短板重大项目，加强投资项目推介，、吸引社会资本参与建设和运营。</w:t>
      </w:r>
      <w:r>
        <w:rPr>
          <w:rFonts w:hint="eastAsia" w:ascii="宋体" w:hAnsi="宋体" w:eastAsia="方正楷体_GBK" w:cs="方正楷体_GBK"/>
          <w:color w:val="auto"/>
          <w:sz w:val="32"/>
          <w:highlight w:val="none"/>
          <w:lang w:val="en-US" w:eastAsia="zh-CN"/>
        </w:rPr>
        <w:t>（责任处室：厅财审处、规划处、建设处）</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val="en-US" w:eastAsia="zh-CN"/>
        </w:rPr>
        <w:t>（二十二）对企业服务零距离</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仿宋_GBK"/>
          <w:color w:val="auto"/>
          <w:sz w:val="32"/>
          <w:highlight w:val="none"/>
          <w:lang w:val="en-US" w:eastAsia="zh-CN"/>
        </w:rPr>
      </w:pPr>
      <w:r>
        <w:rPr>
          <w:rFonts w:hint="eastAsia" w:ascii="宋体" w:hAnsi="宋体" w:eastAsia="方正仿宋_GBK"/>
          <w:color w:val="auto"/>
          <w:sz w:val="32"/>
          <w:highlight w:val="none"/>
          <w:lang w:val="en-US" w:eastAsia="zh-CN"/>
        </w:rPr>
        <w:t>建立线上线下相结合服务企业机制，实现“沟通面对面、服务零距离”，妥善处理企业反映的问题，并采取反馈、督办、通报等一系列措施，帮助企业解决发展难题。开通绿色通道，为项目落地、企业入驻提供一站式、保姆式、贴身式服务。</w:t>
      </w:r>
      <w:r>
        <w:rPr>
          <w:rFonts w:hint="eastAsia" w:ascii="宋体" w:hAnsi="宋体" w:eastAsia="方正楷体_GBK" w:cs="方正楷体_GBK"/>
          <w:color w:val="auto"/>
          <w:sz w:val="32"/>
          <w:highlight w:val="none"/>
          <w:lang w:val="en-US" w:eastAsia="zh-CN"/>
        </w:rPr>
        <w:t>（责任处室：厅机关有关处室、厅属有关单位）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val="en-US" w:eastAsia="zh-CN"/>
        </w:rPr>
        <w:t>（二十三）对侵权行为零容忍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仿宋_GBK"/>
          <w:color w:val="auto"/>
          <w:sz w:val="32"/>
          <w:highlight w:val="none"/>
          <w:lang w:val="en-US" w:eastAsia="zh-CN"/>
        </w:rPr>
        <w:t>规范行政执法，提升执法人员综合素质，加强行政执法力度，依法严厉打击侵害企业和企业家合法权益、扰乱企业正常经营秩序的违法行为，涉嫌犯罪的及时移交司法机关处理，为优化营商环境提供坚强有力的法律保障。</w:t>
      </w:r>
      <w:r>
        <w:rPr>
          <w:rFonts w:hint="eastAsia" w:ascii="宋体" w:hAnsi="宋体" w:eastAsia="方正楷体_GBK" w:cs="方正楷体_GBK"/>
          <w:color w:val="auto"/>
          <w:sz w:val="32"/>
          <w:highlight w:val="none"/>
          <w:lang w:val="en-US" w:eastAsia="zh-CN"/>
        </w:rPr>
        <w:t>（牵头处室：厅法制处，责任处室和单位：厅机关有关处室、厅属有关单位）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val="en-US" w:eastAsia="zh-CN"/>
        </w:rPr>
        <w:t>（二十四）扶持企业发展“四公开”行动</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仿宋_GBK"/>
          <w:color w:val="auto"/>
          <w:sz w:val="32"/>
          <w:highlight w:val="none"/>
          <w:lang w:val="en-US" w:eastAsia="zh-CN"/>
        </w:rPr>
        <w:t>1.扶持政策网上公开。将企业减负政策、财政奖补政策、惠民利民政策和招投标情况等信息，通过门户网站、“一部手机办事通”平台、微信公众号、微博等多渠道进行网上公开。</w:t>
      </w:r>
      <w:r>
        <w:rPr>
          <w:rFonts w:hint="eastAsia" w:ascii="宋体" w:hAnsi="宋体" w:eastAsia="方正楷体_GBK" w:cs="方正楷体_GBK"/>
          <w:color w:val="auto"/>
          <w:sz w:val="32"/>
          <w:highlight w:val="none"/>
          <w:lang w:val="en-US" w:eastAsia="zh-CN"/>
        </w:rPr>
        <w:t>（牵头处室：厅办公室、信息中心，责任处室和单位：厅机关有关处室、厅属有关单位）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仿宋_GBK"/>
          <w:color w:val="auto"/>
          <w:sz w:val="32"/>
          <w:highlight w:val="none"/>
          <w:lang w:val="en-US" w:eastAsia="zh-CN"/>
        </w:rPr>
        <w:t>2.扶持项目网上公开。政府扶持的各类项目要清晰列明扶持内容、获得条件、提交材料、评审程序、不予批准的情形等内容，且申报材料均提供相应的模板。</w:t>
      </w:r>
      <w:r>
        <w:rPr>
          <w:rFonts w:hint="eastAsia" w:ascii="宋体" w:hAnsi="宋体" w:eastAsia="方正楷体_GBK" w:cs="方正楷体_GBK"/>
          <w:color w:val="auto"/>
          <w:sz w:val="32"/>
          <w:highlight w:val="none"/>
          <w:lang w:val="en-US" w:eastAsia="zh-CN"/>
        </w:rPr>
        <w:t>（牵头处室：厅办公室、审批处、信息中心，责任处室和单位：厅机关有关处室、厅属有关单位）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仿宋_GBK"/>
          <w:color w:val="auto"/>
          <w:sz w:val="32"/>
          <w:highlight w:val="none"/>
          <w:lang w:val="en-US" w:eastAsia="zh-CN"/>
        </w:rPr>
        <w:t>3.办理过程网上公开。政府扶持的各类项目及时通过各种渠道进行网上公开。针对每个项目执行节点，包括申报、预审、审批、合同签订等办理信息应依法依规及时公开。</w:t>
      </w:r>
      <w:r>
        <w:rPr>
          <w:rFonts w:hint="eastAsia" w:ascii="宋体" w:hAnsi="宋体" w:eastAsia="方正楷体_GBK" w:cs="方正楷体_GBK"/>
          <w:color w:val="auto"/>
          <w:sz w:val="32"/>
          <w:highlight w:val="none"/>
          <w:lang w:val="en-US" w:eastAsia="zh-CN"/>
        </w:rPr>
        <w:t>（牵头处室：厅办公室、审批处、信息中心，责任处室和单位：厅机关有关处室、厅属有关单位）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仿宋_GBK"/>
          <w:color w:val="auto"/>
          <w:sz w:val="32"/>
          <w:highlight w:val="none"/>
          <w:lang w:val="en-US" w:eastAsia="zh-CN"/>
        </w:rPr>
        <w:t>4.办理结果网上公开。对获得政府支持的项目要进行网上公开，内容包括企业名称、获得支持的项目、获得支持的内容。</w:t>
      </w:r>
      <w:r>
        <w:rPr>
          <w:rFonts w:hint="eastAsia" w:ascii="宋体" w:hAnsi="宋体" w:eastAsia="方正楷体_GBK" w:cs="方正楷体_GBK"/>
          <w:color w:val="auto"/>
          <w:sz w:val="32"/>
          <w:highlight w:val="none"/>
          <w:lang w:val="en-US" w:eastAsia="zh-CN"/>
        </w:rPr>
        <w:t>（牵头处室：厅办公室、信息中心，责任处室和单位：厅机关有关处室、厅属有关单位）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val="en-US" w:eastAsia="zh-CN"/>
        </w:rPr>
        <w:t>（二十五）</w:t>
      </w:r>
      <w:r>
        <w:rPr>
          <w:rFonts w:hint="eastAsia" w:ascii="宋体" w:hAnsi="宋体" w:eastAsia="方正楷体_GBK" w:cs="方正楷体_GBK"/>
          <w:color w:val="auto"/>
          <w:sz w:val="32"/>
          <w:highlight w:val="none"/>
          <w:lang w:eastAsia="zh-CN"/>
        </w:rPr>
        <w:t>强化政策宣传解读和舆论引导</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仿宋_GBK"/>
          <w:color w:val="auto"/>
          <w:sz w:val="32"/>
          <w:highlight w:val="none"/>
          <w:lang w:eastAsia="zh-CN"/>
        </w:rPr>
        <w:t>采取在政府门户网站开设优化营商环境政策宣传解读专栏等形式，对已出台的优化营商环境政策措施及时跟进解读，并向企业精准推送各类优化政策信息。对于市场主体关注的重点难点问题，要及时研究解决，回应社会关切，合理引导预期。积极树立优秀企业典型，增强企业家的使命感、责任感、荣誉感，进一步营造尊重企业家的良好社会氛围。及时总结推广基层利企便民的创新典型做法，借鉴吸收有益经验，推动形成竞相优化营商环境的良好局面。</w:t>
      </w:r>
      <w:r>
        <w:rPr>
          <w:rFonts w:hint="eastAsia" w:ascii="宋体" w:hAnsi="宋体" w:eastAsia="方正楷体_GBK" w:cs="方正楷体_GBK"/>
          <w:color w:val="auto"/>
          <w:sz w:val="32"/>
          <w:highlight w:val="none"/>
          <w:lang w:eastAsia="zh-CN"/>
        </w:rPr>
        <w:t>（牵头处室：厅政研室、办公室、信息中心，责任处室：厅机关各处室、厅属各单位）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黑体_GBK" w:cs="方正黑体_GBK"/>
          <w:color w:val="auto"/>
          <w:sz w:val="32"/>
          <w:highlight w:val="none"/>
          <w:lang w:eastAsia="zh-CN"/>
        </w:rPr>
      </w:pPr>
      <w:r>
        <w:rPr>
          <w:rFonts w:hint="eastAsia" w:ascii="宋体" w:hAnsi="宋体" w:eastAsia="方正黑体_GBK" w:cs="方正黑体_GBK"/>
          <w:color w:val="auto"/>
          <w:sz w:val="32"/>
          <w:highlight w:val="none"/>
          <w:lang w:eastAsia="zh-CN"/>
        </w:rPr>
        <w:t>二、保障措施</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eastAsia="zh-CN"/>
        </w:rPr>
        <w:t>（一）加强组织领导。</w:t>
      </w:r>
      <w:r>
        <w:rPr>
          <w:rFonts w:hint="eastAsia" w:ascii="宋体" w:hAnsi="宋体" w:eastAsia="方正仿宋_GBK"/>
          <w:color w:val="auto"/>
          <w:sz w:val="32"/>
          <w:highlight w:val="none"/>
          <w:lang w:eastAsia="zh-CN"/>
        </w:rPr>
        <w:t>厅党组和各级党组织是优化营商环境工作的责任主体，主要负责人为第一责任人，既要亲自抓部署、抓方案，又要亲自抓协调、抓落实。</w:t>
      </w:r>
      <w:r>
        <w:rPr>
          <w:rFonts w:hint="eastAsia" w:ascii="宋体" w:hAnsi="宋体" w:eastAsia="方正楷体_GBK" w:cs="方正楷体_GBK"/>
          <w:color w:val="auto"/>
          <w:sz w:val="32"/>
          <w:highlight w:val="none"/>
          <w:lang w:eastAsia="zh-CN"/>
        </w:rPr>
        <w:t>（牵头处室：厅办公室、直属机关党委（组织人事处），责任处室和单位：厅机关各支部、厅属有关单位党委（总支））</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eastAsia="zh-CN"/>
        </w:rPr>
      </w:pPr>
      <w:r>
        <w:rPr>
          <w:rFonts w:hint="eastAsia" w:ascii="宋体" w:hAnsi="宋体" w:eastAsia="方正楷体_GBK" w:cs="方正楷体_GBK"/>
          <w:color w:val="auto"/>
          <w:sz w:val="32"/>
          <w:highlight w:val="none"/>
          <w:lang w:val="en-US" w:eastAsia="zh-CN"/>
        </w:rPr>
        <w:t>（二）细化措施推进。</w:t>
      </w:r>
      <w:r>
        <w:rPr>
          <w:rFonts w:hint="eastAsia" w:ascii="宋体" w:hAnsi="宋体" w:eastAsia="方正仿宋_GBK"/>
          <w:color w:val="auto"/>
          <w:sz w:val="32"/>
          <w:highlight w:val="none"/>
          <w:lang w:eastAsia="zh-CN"/>
        </w:rPr>
        <w:t>各有关处室、单位要结合任务分工研究细化制定落实措施，定期或不定期报送落实情况。</w:t>
      </w:r>
      <w:r>
        <w:rPr>
          <w:rFonts w:hint="eastAsia" w:ascii="宋体" w:hAnsi="宋体" w:eastAsia="方正楷体_GBK" w:cs="方正楷体_GBK"/>
          <w:color w:val="auto"/>
          <w:sz w:val="32"/>
          <w:highlight w:val="none"/>
          <w:lang w:eastAsia="zh-CN"/>
        </w:rPr>
        <w:t>（责任处室和单位：厅机关有关处室、厅属有关单位）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val="en-US" w:eastAsia="zh-CN"/>
        </w:rPr>
        <w:t>（三）强化依法监管。</w:t>
      </w:r>
      <w:r>
        <w:rPr>
          <w:rFonts w:hint="eastAsia" w:ascii="宋体" w:hAnsi="宋体" w:eastAsia="方正仿宋_GBK"/>
          <w:color w:val="auto"/>
          <w:sz w:val="32"/>
          <w:highlight w:val="none"/>
          <w:lang w:val="en-US" w:eastAsia="zh-CN"/>
        </w:rPr>
        <w:t>深化综合交通行政执法改革，清理规范行政处罚事项，坚决治理多头检查、重复检查，杜绝选择性执法、任性执法，在依法监管守住基本规则和安全底线的基础上，对新产业、新业态包容审慎监管，支持其创新发展，并坚决破除阻碍市场活力发挥的各种垄断。</w:t>
      </w:r>
      <w:r>
        <w:rPr>
          <w:rFonts w:hint="eastAsia" w:ascii="宋体" w:hAnsi="宋体" w:eastAsia="方正楷体_GBK" w:cs="方正楷体_GBK"/>
          <w:color w:val="auto"/>
          <w:sz w:val="32"/>
          <w:highlight w:val="none"/>
          <w:lang w:val="en-US" w:eastAsia="zh-CN"/>
        </w:rPr>
        <w:t>（牵头处室：厅直属机关党委（组织人事处）、法制处，责任处室和单位：厅机关有关处室、厅属有关单位）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仿宋_GBK"/>
          <w:color w:val="auto"/>
          <w:sz w:val="32"/>
          <w:highlight w:val="none"/>
          <w:lang w:val="en-US" w:eastAsia="zh-CN"/>
        </w:rPr>
      </w:pPr>
      <w:r>
        <w:rPr>
          <w:rFonts w:hint="eastAsia" w:ascii="宋体" w:hAnsi="宋体" w:eastAsia="方正楷体_GBK" w:cs="方正楷体_GBK"/>
          <w:color w:val="auto"/>
          <w:sz w:val="32"/>
          <w:highlight w:val="none"/>
          <w:lang w:val="en-US" w:eastAsia="zh-CN"/>
        </w:rPr>
        <w:t>（四）落实督查机制。</w:t>
      </w:r>
      <w:r>
        <w:rPr>
          <w:rFonts w:hint="eastAsia" w:ascii="宋体" w:hAnsi="宋体" w:eastAsia="方正仿宋_GBK"/>
          <w:color w:val="auto"/>
          <w:sz w:val="32"/>
          <w:highlight w:val="none"/>
          <w:lang w:val="en-US" w:eastAsia="zh-CN"/>
        </w:rPr>
        <w:t>进一步加强对优化营商环境政策落实的督促检查，将优化营商环境政策措施的督查纳入2019年综合督查范围，确保有关政策措施落实到位。</w:t>
      </w:r>
      <w:r>
        <w:rPr>
          <w:rFonts w:hint="eastAsia" w:ascii="宋体" w:hAnsi="宋体" w:eastAsia="方正楷体_GBK" w:cs="方正楷体_GBK"/>
          <w:color w:val="auto"/>
          <w:sz w:val="32"/>
          <w:highlight w:val="none"/>
          <w:lang w:val="en-US" w:eastAsia="zh-CN"/>
        </w:rPr>
        <w:t>（牵头处室：厅办公室，责任单位：厅属各单位督查部门）</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val="en-US" w:eastAsia="zh-CN"/>
        </w:rPr>
        <w:t>（五）落实评价机制</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仿宋_GBK"/>
          <w:color w:val="auto"/>
          <w:sz w:val="32"/>
          <w:highlight w:val="none"/>
          <w:lang w:eastAsia="zh-CN"/>
        </w:rPr>
      </w:pPr>
      <w:r>
        <w:rPr>
          <w:rFonts w:hint="eastAsia" w:ascii="宋体" w:hAnsi="宋体" w:eastAsia="方正仿宋_GBK"/>
          <w:color w:val="auto"/>
          <w:sz w:val="32"/>
          <w:highlight w:val="none"/>
          <w:lang w:eastAsia="zh-CN"/>
        </w:rPr>
        <w:t>将营商环境工作纳入综合考核和领导班子综合考评体系，积极听取企业、群众意见建议，研究探索第三方评估机制，强化考核评价结果运用。</w:t>
      </w:r>
      <w:r>
        <w:rPr>
          <w:rFonts w:hint="eastAsia" w:ascii="宋体" w:hAnsi="宋体" w:eastAsia="方正楷体_GBK" w:cs="方正楷体_GBK"/>
          <w:color w:val="auto"/>
          <w:sz w:val="32"/>
          <w:highlight w:val="none"/>
          <w:lang w:eastAsia="zh-CN"/>
        </w:rPr>
        <w:t>（牵头处室：厅法制处，责任单位：厅属有关单位）</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楷体_GBK" w:cs="方正楷体_GBK"/>
          <w:color w:val="auto"/>
          <w:sz w:val="32"/>
          <w:highlight w:val="none"/>
          <w:lang w:val="en-US" w:eastAsia="zh-CN"/>
        </w:rPr>
        <w:t>（六）建立责任追究机制</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r>
        <w:rPr>
          <w:rFonts w:hint="eastAsia" w:ascii="宋体" w:hAnsi="宋体" w:eastAsia="方正仿宋_GBK"/>
          <w:color w:val="auto"/>
          <w:sz w:val="32"/>
          <w:highlight w:val="none"/>
          <w:lang w:val="en-US" w:eastAsia="zh-CN"/>
        </w:rPr>
        <w:t>抓好营商环境项目执行、部门协同、支撑保障等工作落实，对破坏营商环境的行为，启动过错纠正和责任追究机制。进一步强化责任，落实首问责任制和限时办结制，防止推诿扯皮、耽误工作。</w:t>
      </w:r>
      <w:r>
        <w:rPr>
          <w:rFonts w:hint="eastAsia" w:ascii="宋体" w:hAnsi="宋体" w:eastAsia="方正楷体_GBK" w:cs="方正楷体_GBK"/>
          <w:color w:val="auto"/>
          <w:sz w:val="32"/>
          <w:highlight w:val="none"/>
          <w:lang w:val="en-US" w:eastAsia="zh-CN"/>
        </w:rPr>
        <w:t>（牵头处室：厅直属机关纪委、厅属各单位纪委）</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宋体" w:hAnsi="宋体" w:eastAsia="方正楷体_GBK" w:cs="方正楷体_GBK"/>
          <w:color w:val="auto"/>
          <w:sz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jc w:val="both"/>
        <w:textAlignment w:val="auto"/>
        <w:outlineLvl w:val="9"/>
        <w:rPr>
          <w:rFonts w:ascii="宋体" w:hAnsi="宋体"/>
          <w:color w:val="auto"/>
          <w:highlight w:val="none"/>
        </w:rPr>
      </w:pP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大黑_GBK">
    <w:altName w:val="黑体"/>
    <w:panose1 w:val="03000509000000000000"/>
    <w:charset w:val="86"/>
    <w:family w:val="auto"/>
    <w:pitch w:val="default"/>
    <w:sig w:usb0="00000000" w:usb1="00000000" w:usb2="00000000" w:usb3="00000000" w:csb0="00040000" w:csb1="00000000"/>
  </w:font>
  <w:font w:name="方正大标宋简体">
    <w:panose1 w:val="03000509000000000000"/>
    <w:charset w:val="86"/>
    <w:family w:val="auto"/>
    <w:pitch w:val="default"/>
    <w:sig w:usb0="00000001"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 w:name="方正华隶_GBK">
    <w:altName w:val="隶书"/>
    <w:panose1 w:val="03000509000000000000"/>
    <w:charset w:val="86"/>
    <w:family w:val="auto"/>
    <w:pitch w:val="default"/>
    <w:sig w:usb0="00000000" w:usb1="00000000" w:usb2="00000000" w:usb3="00000000" w:csb0="00040000" w:csb1="00000000"/>
  </w:font>
  <w:font w:name="方正准圆_GBK">
    <w:altName w:val="宋体"/>
    <w:panose1 w:val="03000509000000000000"/>
    <w:charset w:val="86"/>
    <w:family w:val="auto"/>
    <w:pitch w:val="default"/>
    <w:sig w:usb0="00000000" w:usb1="00000000" w:usb2="00000000" w:usb3="00000000" w:csb0="00040000" w:csb1="00000000"/>
  </w:font>
  <w:font w:name="方正书宋_GBK">
    <w:altName w:val="Arial Unicode MS"/>
    <w:panose1 w:val="03000509000000000000"/>
    <w:charset w:val="86"/>
    <w:family w:val="auto"/>
    <w:pitch w:val="default"/>
    <w:sig w:usb0="00000000" w:usb1="00000000" w:usb2="00000000" w:usb3="00000000" w:csb0="00040000" w:csb1="00000000"/>
  </w:font>
  <w:font w:name="方正中等线_GBK">
    <w:altName w:val="宋体"/>
    <w:panose1 w:val="03000509000000000000"/>
    <w:charset w:val="86"/>
    <w:family w:val="auto"/>
    <w:pitch w:val="default"/>
    <w:sig w:usb0="00000000" w:usb1="00000000" w:usb2="00000000" w:usb3="00000000" w:csb0="00040000" w:csb1="00000000"/>
  </w:font>
  <w:font w:name="方正姚体_GBK">
    <w:altName w:val="宋体"/>
    <w:panose1 w:val="03000509000000000000"/>
    <w:charset w:val="86"/>
    <w:family w:val="auto"/>
    <w:pitch w:val="default"/>
    <w:sig w:usb0="00000000" w:usb1="00000000" w:usb2="00000000" w:usb3="00000000" w:csb0="00040000" w:csb1="00000000"/>
  </w:font>
  <w:font w:name="方正中倩_GBK">
    <w:altName w:val="宋体"/>
    <w:panose1 w:val="03000509000000000000"/>
    <w:charset w:val="86"/>
    <w:family w:val="auto"/>
    <w:pitch w:val="default"/>
    <w:sig w:usb0="00000000" w:usb1="00000000" w:usb2="00000000" w:usb3="00000000" w:csb0="00040000" w:csb1="00000000"/>
  </w:font>
  <w:font w:name="方正宋三_GBK">
    <w:altName w:val="宋体"/>
    <w:panose1 w:val="03000509000000000000"/>
    <w:charset w:val="86"/>
    <w:family w:val="auto"/>
    <w:pitch w:val="default"/>
    <w:sig w:usb0="00000000" w:usb1="00000000" w:usb2="00000000" w:usb3="00000000" w:csb0="00040000" w:csb1="00000000"/>
  </w:font>
  <w:font w:name="方正宋一_GBK">
    <w:altName w:val="宋体"/>
    <w:panose1 w:val="03000509000000000000"/>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宋黑_GBK">
    <w:altName w:val="宋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少儿_GBK">
    <w:altName w:val="宋体"/>
    <w:panose1 w:val="03000509000000000000"/>
    <w:charset w:val="86"/>
    <w:family w:val="auto"/>
    <w:pitch w:val="default"/>
    <w:sig w:usb0="00000000" w:usb1="00000000" w:usb2="00000000" w:usb3="00000000" w:csb0="00040000" w:csb1="00000000"/>
  </w:font>
  <w:font w:name="方正细等线_GBK">
    <w:altName w:val="宋体"/>
    <w:panose1 w:val="03000509000000000000"/>
    <w:charset w:val="86"/>
    <w:family w:val="auto"/>
    <w:pitch w:val="default"/>
    <w:sig w:usb0="00000000" w:usb1="00000000" w:usb2="00000000" w:usb3="00000000" w:csb0="00040000" w:csb1="00000000"/>
  </w:font>
  <w:font w:name="方正细珊瑚_GBK">
    <w:altName w:val="宋体"/>
    <w:panose1 w:val="03000509000000000000"/>
    <w:charset w:val="86"/>
    <w:family w:val="auto"/>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方正粗宋_GBK">
    <w:altName w:val="宋体"/>
    <w:panose1 w:val="03000509000000000000"/>
    <w:charset w:val="86"/>
    <w:family w:val="auto"/>
    <w:pitch w:val="default"/>
    <w:sig w:usb0="00000000" w:usb1="00000000" w:usb2="00000000" w:usb3="00000000" w:csb0="00040000" w:csb1="00000000"/>
  </w:font>
  <w:font w:name="方正粗圆_GBK">
    <w:altName w:val="宋体"/>
    <w:panose1 w:val="03000509000000000000"/>
    <w:charset w:val="86"/>
    <w:family w:val="auto"/>
    <w:pitch w:val="default"/>
    <w:sig w:usb0="00000000" w:usb1="00000000" w:usb2="00000000" w:usb3="00000000" w:csb0="00040000" w:csb1="00000000"/>
  </w:font>
  <w:font w:name="方正粗倩_GBK">
    <w:altName w:val="宋体"/>
    <w:panose1 w:val="03000509000000000000"/>
    <w:charset w:val="86"/>
    <w:family w:val="auto"/>
    <w:pitch w:val="default"/>
    <w:sig w:usb0="00000000" w:usb1="00000000" w:usb2="00000000" w:usb3="00000000" w:csb0="00040000" w:csb1="00000000"/>
  </w:font>
  <w:font w:name="方正瘦金书_GBK">
    <w:altName w:val="宋体"/>
    <w:panose1 w:val="03000509000000000000"/>
    <w:charset w:val="86"/>
    <w:family w:val="auto"/>
    <w:pitch w:val="default"/>
    <w:sig w:usb0="00000000" w:usb1="00000000" w:usb2="00000000" w:usb3="00000000" w:csb0="00040000" w:csb1="00000000"/>
  </w:font>
  <w:font w:name="方正水柱_GBK">
    <w:altName w:val="宋体"/>
    <w:panose1 w:val="03000509000000000000"/>
    <w:charset w:val="86"/>
    <w:family w:val="auto"/>
    <w:pitch w:val="default"/>
    <w:sig w:usb0="00000000" w:usb1="00000000" w:usb2="00000000" w:usb3="00000000" w:csb0="00040000" w:csb1="00000000"/>
  </w:font>
  <w:font w:name="方正新报宋_GBK">
    <w:altName w:val="宋体"/>
    <w:panose1 w:val="03000509000000000000"/>
    <w:charset w:val="86"/>
    <w:family w:val="auto"/>
    <w:pitch w:val="default"/>
    <w:sig w:usb0="00000000" w:usb1="00000000" w:usb2="00000000" w:usb3="00000000" w:csb0="00040000" w:csb1="00000000"/>
  </w:font>
  <w:font w:name="方正彩云_GBK">
    <w:altName w:val="宋体"/>
    <w:panose1 w:val="03000509000000000000"/>
    <w:charset w:val="86"/>
    <w:family w:val="auto"/>
    <w:pitch w:val="default"/>
    <w:sig w:usb0="00000000" w:usb1="00000000" w:usb2="00000000" w:usb3="00000000" w:csb0="00040000" w:csb1="00000000"/>
  </w:font>
  <w:font w:name="隶书">
    <w:panose1 w:val="0201050906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3803B6"/>
    <w:rsid w:val="00B16CC9"/>
    <w:rsid w:val="064817B3"/>
    <w:rsid w:val="072933F1"/>
    <w:rsid w:val="07572A31"/>
    <w:rsid w:val="08DF064B"/>
    <w:rsid w:val="0A3D23C4"/>
    <w:rsid w:val="0A470D3F"/>
    <w:rsid w:val="0D50576E"/>
    <w:rsid w:val="0EED7A87"/>
    <w:rsid w:val="131853EA"/>
    <w:rsid w:val="143F2C0A"/>
    <w:rsid w:val="18B555EA"/>
    <w:rsid w:val="1AD65B82"/>
    <w:rsid w:val="1C0B233F"/>
    <w:rsid w:val="1D6B0B60"/>
    <w:rsid w:val="1DBA547D"/>
    <w:rsid w:val="246B0419"/>
    <w:rsid w:val="2A244266"/>
    <w:rsid w:val="2D0F7D54"/>
    <w:rsid w:val="2D8037A9"/>
    <w:rsid w:val="2E1035CC"/>
    <w:rsid w:val="2FC35BBE"/>
    <w:rsid w:val="30274285"/>
    <w:rsid w:val="319827BF"/>
    <w:rsid w:val="31D009E9"/>
    <w:rsid w:val="360A3B8B"/>
    <w:rsid w:val="3797306F"/>
    <w:rsid w:val="39EC39FA"/>
    <w:rsid w:val="39F626DB"/>
    <w:rsid w:val="3B991D86"/>
    <w:rsid w:val="3FF014E2"/>
    <w:rsid w:val="423803B6"/>
    <w:rsid w:val="444025BE"/>
    <w:rsid w:val="453C168E"/>
    <w:rsid w:val="47B6792B"/>
    <w:rsid w:val="523C61ED"/>
    <w:rsid w:val="53A1625D"/>
    <w:rsid w:val="5A472307"/>
    <w:rsid w:val="5B300280"/>
    <w:rsid w:val="5C817F9C"/>
    <w:rsid w:val="5E386D30"/>
    <w:rsid w:val="60816174"/>
    <w:rsid w:val="644B6F56"/>
    <w:rsid w:val="693E26E1"/>
    <w:rsid w:val="694944A6"/>
    <w:rsid w:val="73784AAA"/>
    <w:rsid w:val="752C6272"/>
    <w:rsid w:val="754F6B82"/>
    <w:rsid w:val="787D0AF3"/>
    <w:rsid w:val="798935AE"/>
    <w:rsid w:val="7B76660C"/>
    <w:rsid w:val="7F03606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云南省交通运输厅</Company>
  <Pages>11</Pages>
  <Words>5444</Words>
  <Characters>5471</Characters>
  <Lines>0</Lines>
  <Paragraphs>0</Paragraphs>
  <ScaleCrop>false</ScaleCrop>
  <LinksUpToDate>false</LinksUpToDate>
  <CharactersWithSpaces>5473</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2019-05-05T09:46:00Z</dcterms:created>
  <dc:creator>衡晓周</dc:creator>
  <cp:lastModifiedBy>顾迎碧</cp:lastModifiedBy>
  <cp:lastPrinted>2019-05-21T01:25:00Z</cp:lastPrinted>
  <dcterms:modified xsi:type="dcterms:W3CDTF">2019-05-27T06:12:16Z</dcterms:modified>
  <dc:title>关于进一步优化营商环境的任务分工方案</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ies>
</file>